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60472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260472">
        <w:rPr>
          <w:rFonts w:ascii="Times New Roman" w:hAnsi="Times New Roman" w:cs="Times New Roman"/>
          <w:b/>
          <w:sz w:val="32"/>
          <w:szCs w:val="32"/>
          <w:lang w:val="hr-BA"/>
        </w:rPr>
        <w:t xml:space="preserve">ŽUPANIJA:  </w:t>
      </w:r>
      <w:r w:rsidR="002E6C19" w:rsidRPr="00260472">
        <w:rPr>
          <w:rFonts w:ascii="Times New Roman" w:hAnsi="Times New Roman" w:cs="Times New Roman"/>
          <w:b/>
          <w:sz w:val="32"/>
          <w:szCs w:val="32"/>
          <w:lang w:val="hr-BA"/>
        </w:rPr>
        <w:t>KRAPINSKO ZAGORSKA</w:t>
      </w:r>
    </w:p>
    <w:p w:rsidR="005D0441" w:rsidRPr="00260472" w:rsidRDefault="005D0441" w:rsidP="005D0441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5D0441" w:rsidRPr="00260472" w:rsidRDefault="0083563B" w:rsidP="005D044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hr-BA"/>
        </w:rPr>
      </w:pPr>
      <w:r>
        <w:rPr>
          <w:rFonts w:ascii="Times New Roman" w:hAnsi="Times New Roman" w:cs="Times New Roman"/>
          <w:b/>
          <w:sz w:val="32"/>
          <w:szCs w:val="32"/>
          <w:lang w:val="hr-BA"/>
        </w:rPr>
        <w:t xml:space="preserve">KONAČNI PRIJEDLOG </w:t>
      </w:r>
      <w:r w:rsidR="005D0441" w:rsidRPr="00260472">
        <w:rPr>
          <w:rFonts w:ascii="Times New Roman" w:hAnsi="Times New Roman" w:cs="Times New Roman"/>
          <w:b/>
          <w:sz w:val="32"/>
          <w:szCs w:val="32"/>
          <w:lang w:val="hr-BA"/>
        </w:rPr>
        <w:t>PROGRAM</w:t>
      </w:r>
      <w:r>
        <w:rPr>
          <w:rFonts w:ascii="Times New Roman" w:hAnsi="Times New Roman" w:cs="Times New Roman"/>
          <w:b/>
          <w:sz w:val="32"/>
          <w:szCs w:val="32"/>
          <w:lang w:val="hr-BA"/>
        </w:rPr>
        <w:t>A</w:t>
      </w:r>
      <w:r w:rsidR="005D0441" w:rsidRPr="00260472">
        <w:rPr>
          <w:rFonts w:ascii="Times New Roman" w:hAnsi="Times New Roman" w:cs="Times New Roman"/>
          <w:b/>
          <w:sz w:val="32"/>
          <w:szCs w:val="32"/>
          <w:lang w:val="hr-BA"/>
        </w:rPr>
        <w:t xml:space="preserve"> RASPOLAGANJA POLJOPRIVREDNIM ZEMLJIŠTEM U VLASNIŠTVU 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60472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472">
        <w:rPr>
          <w:rFonts w:ascii="Times New Roman" w:hAnsi="Times New Roman" w:cs="Times New Roman"/>
          <w:b/>
          <w:sz w:val="32"/>
          <w:szCs w:val="32"/>
          <w:lang w:val="hr-BA"/>
        </w:rPr>
        <w:t xml:space="preserve">ZA </w:t>
      </w:r>
      <w:r w:rsidR="002E6C19" w:rsidRPr="00260472">
        <w:rPr>
          <w:rFonts w:ascii="Times New Roman" w:hAnsi="Times New Roman" w:cs="Times New Roman"/>
          <w:b/>
          <w:sz w:val="32"/>
          <w:szCs w:val="32"/>
          <w:lang w:val="hr-BA"/>
        </w:rPr>
        <w:t xml:space="preserve"> </w:t>
      </w:r>
      <w:r w:rsidRPr="00260472">
        <w:rPr>
          <w:rFonts w:ascii="Times New Roman" w:hAnsi="Times New Roman" w:cs="Times New Roman"/>
          <w:b/>
          <w:sz w:val="32"/>
          <w:szCs w:val="32"/>
          <w:lang w:val="hr-BA"/>
        </w:rPr>
        <w:t>OPĆINU</w:t>
      </w:r>
      <w:r w:rsidR="002E6C19" w:rsidRPr="00260472">
        <w:rPr>
          <w:rFonts w:ascii="Times New Roman" w:hAnsi="Times New Roman" w:cs="Times New Roman"/>
          <w:b/>
          <w:sz w:val="32"/>
          <w:szCs w:val="32"/>
          <w:lang w:val="hr-BA"/>
        </w:rPr>
        <w:t xml:space="preserve"> VELIKO TRGOVIŠĆE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općine</w:t>
      </w:r>
      <w:r w:rsidR="002E6C19">
        <w:rPr>
          <w:rFonts w:ascii="Times New Roman" w:hAnsi="Times New Roman" w:cs="Times New Roman"/>
          <w:sz w:val="24"/>
          <w:szCs w:val="24"/>
        </w:rPr>
        <w:t xml:space="preserve"> VELIKO TRGOVIŠĆE</w:t>
      </w:r>
      <w:r w:rsidRPr="00722DBE">
        <w:rPr>
          <w:rFonts w:ascii="Times New Roman" w:hAnsi="Times New Roman" w:cs="Times New Roman"/>
          <w:sz w:val="24"/>
          <w:szCs w:val="24"/>
        </w:rPr>
        <w:t xml:space="preserve"> iznosi:</w:t>
      </w:r>
      <w:r w:rsidR="002E6C19">
        <w:rPr>
          <w:rFonts w:ascii="Times New Roman" w:hAnsi="Times New Roman" w:cs="Times New Roman"/>
          <w:sz w:val="24"/>
          <w:szCs w:val="24"/>
        </w:rPr>
        <w:t xml:space="preserve">   </w:t>
      </w:r>
      <w:r w:rsidR="008823FD">
        <w:rPr>
          <w:rFonts w:ascii="Times New Roman" w:hAnsi="Times New Roman" w:cs="Times New Roman"/>
          <w:sz w:val="24"/>
          <w:szCs w:val="24"/>
        </w:rPr>
        <w:t>1,9404</w:t>
      </w:r>
      <w:r w:rsidR="002E6C19">
        <w:rPr>
          <w:rFonts w:ascii="Times New Roman" w:hAnsi="Times New Roman" w:cs="Times New Roman"/>
          <w:sz w:val="24"/>
          <w:szCs w:val="24"/>
        </w:rPr>
        <w:t xml:space="preserve">    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2E6C19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2E6C19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2E6C19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2E6C19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2E6C19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2E6C19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2E6C19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2E6C19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722DBE" w:rsidRDefault="002E6C19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2E6C19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 w:rsidR="00432CC2" w:rsidRPr="00A8700F" w:rsidRDefault="00432CC2" w:rsidP="005D0441">
      <w:pPr>
        <w:rPr>
          <w:rFonts w:ascii="Times New Roman" w:hAnsi="Times New Roman"/>
          <w:b/>
          <w:sz w:val="24"/>
          <w:szCs w:val="24"/>
        </w:rPr>
      </w:pPr>
      <w:r w:rsidRPr="00A8700F">
        <w:rPr>
          <w:rFonts w:ascii="Times New Roman" w:hAnsi="Times New Roman"/>
          <w:b/>
          <w:sz w:val="24"/>
          <w:szCs w:val="24"/>
        </w:rPr>
        <w:t xml:space="preserve">RAZRADA PROGRAMA RASPOLAGANJA POLJOPRIVREDNIM ZEMLJIŠTEM U VLASNIŠTVU REPUBLIKE HRVATSKE </w:t>
      </w:r>
    </w:p>
    <w:p w:rsidR="00432CC2" w:rsidRDefault="00432CC2" w:rsidP="005D0441">
      <w:pPr>
        <w:rPr>
          <w:rFonts w:ascii="Times New Roman" w:hAnsi="Times New Roman"/>
          <w:sz w:val="24"/>
          <w:szCs w:val="24"/>
        </w:rPr>
      </w:pPr>
      <w:r w:rsidRPr="00432CC2">
        <w:rPr>
          <w:rFonts w:ascii="Times New Roman" w:hAnsi="Times New Roman"/>
          <w:sz w:val="24"/>
          <w:szCs w:val="24"/>
        </w:rPr>
        <w:t xml:space="preserve">ZEMLJOPISNI PODACI O </w:t>
      </w:r>
      <w:r>
        <w:rPr>
          <w:rFonts w:ascii="Times New Roman" w:hAnsi="Times New Roman"/>
          <w:sz w:val="24"/>
          <w:szCs w:val="24"/>
        </w:rPr>
        <w:t>OPĆINI VELIKO TRGOVIŠĆE</w:t>
      </w:r>
    </w:p>
    <w:p w:rsidR="00432CC2" w:rsidRPr="0030652C" w:rsidRDefault="00432CC2" w:rsidP="00432C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52C">
        <w:rPr>
          <w:rFonts w:ascii="Times New Roman" w:hAnsi="Times New Roman"/>
          <w:sz w:val="24"/>
          <w:szCs w:val="24"/>
        </w:rPr>
        <w:t xml:space="preserve">Općina Veliko </w:t>
      </w:r>
      <w:proofErr w:type="spellStart"/>
      <w:r w:rsidRPr="0030652C">
        <w:rPr>
          <w:rFonts w:ascii="Times New Roman" w:hAnsi="Times New Roman"/>
          <w:sz w:val="24"/>
          <w:szCs w:val="24"/>
        </w:rPr>
        <w:t>Trgovišće</w:t>
      </w:r>
      <w:proofErr w:type="spellEnd"/>
      <w:r w:rsidRPr="0030652C">
        <w:rPr>
          <w:rFonts w:ascii="Times New Roman" w:hAnsi="Times New Roman"/>
          <w:sz w:val="24"/>
          <w:szCs w:val="24"/>
        </w:rPr>
        <w:t xml:space="preserve">   prostire se na površini od   46,65 km</w:t>
      </w:r>
      <w:r w:rsidRPr="0030652C">
        <w:rPr>
          <w:rFonts w:ascii="Times New Roman" w:hAnsi="Times New Roman"/>
          <w:sz w:val="24"/>
          <w:szCs w:val="24"/>
          <w:vertAlign w:val="superscript"/>
        </w:rPr>
        <w:t>2</w:t>
      </w:r>
      <w:r w:rsidRPr="0030652C">
        <w:rPr>
          <w:rFonts w:ascii="Times New Roman" w:hAnsi="Times New Roman"/>
          <w:sz w:val="24"/>
          <w:szCs w:val="24"/>
        </w:rPr>
        <w:t xml:space="preserve"> i  </w:t>
      </w:r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obuhvaća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30652C"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područja  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petnaest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naselja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: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Bezavina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Domahovo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Družilovec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Dubrovčan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Jezero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Klanječko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Jalšje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Mrzlo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Polje,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Požarkovec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Ravnice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Strmec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Turnišće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Klanječko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Veliko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Trgovišće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Vižovlje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Velika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Erpenja</w:t>
      </w:r>
      <w:proofErr w:type="spellEnd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Vilanci</w:t>
      </w:r>
      <w:proofErr w:type="spellEnd"/>
      <w:r w:rsidR="000E706E"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proofErr w:type="spellStart"/>
      <w:r w:rsidR="000E706E"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Područje</w:t>
      </w:r>
      <w:proofErr w:type="spellEnd"/>
      <w:r w:rsidR="000E706E"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Općine </w:t>
      </w:r>
      <w:proofErr w:type="spellStart"/>
      <w:r w:rsidR="000E706E"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podjeljeno</w:t>
      </w:r>
      <w:proofErr w:type="spellEnd"/>
      <w:r w:rsidR="000E706E" w:rsidRPr="0030652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je </w:t>
      </w:r>
      <w:r w:rsidRPr="0030652C">
        <w:rPr>
          <w:rFonts w:ascii="Times New Roman" w:hAnsi="Times New Roman"/>
          <w:sz w:val="24"/>
          <w:szCs w:val="24"/>
        </w:rPr>
        <w:t xml:space="preserve"> </w:t>
      </w:r>
      <w:r w:rsidR="000E706E" w:rsidRPr="0030652C">
        <w:rPr>
          <w:rFonts w:ascii="Times New Roman" w:hAnsi="Times New Roman"/>
          <w:sz w:val="24"/>
          <w:szCs w:val="24"/>
        </w:rPr>
        <w:t xml:space="preserve">u </w:t>
      </w:r>
      <w:r w:rsidR="0030652C" w:rsidRPr="0030652C">
        <w:rPr>
          <w:rFonts w:ascii="Times New Roman" w:hAnsi="Times New Roman"/>
          <w:sz w:val="24"/>
          <w:szCs w:val="24"/>
        </w:rPr>
        <w:t xml:space="preserve">pet </w:t>
      </w:r>
      <w:r w:rsidR="000E706E" w:rsidRPr="0030652C">
        <w:rPr>
          <w:rFonts w:ascii="Times New Roman" w:hAnsi="Times New Roman"/>
          <w:sz w:val="24"/>
          <w:szCs w:val="24"/>
        </w:rPr>
        <w:t>katastarsk</w:t>
      </w:r>
      <w:r w:rsidR="0030652C" w:rsidRPr="0030652C">
        <w:rPr>
          <w:rFonts w:ascii="Times New Roman" w:hAnsi="Times New Roman"/>
          <w:sz w:val="24"/>
          <w:szCs w:val="24"/>
        </w:rPr>
        <w:t>ih</w:t>
      </w:r>
      <w:r w:rsidR="000E706E" w:rsidRPr="0030652C">
        <w:rPr>
          <w:rFonts w:ascii="Times New Roman" w:hAnsi="Times New Roman"/>
          <w:sz w:val="24"/>
          <w:szCs w:val="24"/>
        </w:rPr>
        <w:t xml:space="preserve"> općin</w:t>
      </w:r>
      <w:r w:rsidR="0030652C" w:rsidRPr="0030652C">
        <w:rPr>
          <w:rFonts w:ascii="Times New Roman" w:hAnsi="Times New Roman"/>
          <w:sz w:val="24"/>
          <w:szCs w:val="24"/>
        </w:rPr>
        <w:t>a</w:t>
      </w:r>
      <w:r w:rsidR="000E706E" w:rsidRPr="0030652C">
        <w:rPr>
          <w:rFonts w:ascii="Times New Roman" w:hAnsi="Times New Roman"/>
          <w:sz w:val="24"/>
          <w:szCs w:val="24"/>
        </w:rPr>
        <w:t>:</w:t>
      </w:r>
      <w:proofErr w:type="spellStart"/>
      <w:r w:rsidR="0030652C" w:rsidRPr="0030652C">
        <w:rPr>
          <w:rFonts w:ascii="Times New Roman" w:hAnsi="Times New Roman"/>
          <w:sz w:val="24"/>
          <w:szCs w:val="24"/>
        </w:rPr>
        <w:t>Dubrovčan</w:t>
      </w:r>
      <w:proofErr w:type="spellEnd"/>
      <w:r w:rsidR="0030652C" w:rsidRPr="0030652C">
        <w:rPr>
          <w:rFonts w:ascii="Times New Roman" w:hAnsi="Times New Roman"/>
          <w:sz w:val="24"/>
          <w:szCs w:val="24"/>
        </w:rPr>
        <w:t xml:space="preserve">, Jezero Klanječko, </w:t>
      </w:r>
      <w:proofErr w:type="spellStart"/>
      <w:r w:rsidR="0030652C" w:rsidRPr="0030652C">
        <w:rPr>
          <w:rFonts w:ascii="Times New Roman" w:hAnsi="Times New Roman"/>
          <w:sz w:val="24"/>
          <w:szCs w:val="24"/>
        </w:rPr>
        <w:t>Strmec</w:t>
      </w:r>
      <w:proofErr w:type="spellEnd"/>
      <w:r w:rsidR="0030652C" w:rsidRPr="0030652C">
        <w:rPr>
          <w:rFonts w:ascii="Times New Roman" w:hAnsi="Times New Roman"/>
          <w:sz w:val="24"/>
          <w:szCs w:val="24"/>
        </w:rPr>
        <w:t xml:space="preserve">, Velika </w:t>
      </w:r>
      <w:proofErr w:type="spellStart"/>
      <w:r w:rsidR="0030652C" w:rsidRPr="0030652C">
        <w:rPr>
          <w:rFonts w:ascii="Times New Roman" w:hAnsi="Times New Roman"/>
          <w:sz w:val="24"/>
          <w:szCs w:val="24"/>
        </w:rPr>
        <w:t>Erpenja</w:t>
      </w:r>
      <w:proofErr w:type="spellEnd"/>
      <w:r w:rsidR="0030652C" w:rsidRPr="0030652C">
        <w:rPr>
          <w:rFonts w:ascii="Times New Roman" w:hAnsi="Times New Roman"/>
          <w:sz w:val="24"/>
          <w:szCs w:val="24"/>
        </w:rPr>
        <w:t xml:space="preserve"> i Veliko </w:t>
      </w:r>
      <w:proofErr w:type="spellStart"/>
      <w:r w:rsidR="0030652C" w:rsidRPr="0030652C">
        <w:rPr>
          <w:rFonts w:ascii="Times New Roman" w:hAnsi="Times New Roman"/>
          <w:sz w:val="24"/>
          <w:szCs w:val="24"/>
        </w:rPr>
        <w:t>Trgovišće</w:t>
      </w:r>
      <w:proofErr w:type="spellEnd"/>
      <w:r w:rsidR="0030652C" w:rsidRPr="0030652C">
        <w:rPr>
          <w:rFonts w:ascii="Times New Roman" w:hAnsi="Times New Roman"/>
          <w:sz w:val="24"/>
          <w:szCs w:val="24"/>
        </w:rPr>
        <w:t>.</w:t>
      </w:r>
    </w:p>
    <w:p w:rsidR="00432CC2" w:rsidRDefault="00432CC2" w:rsidP="00432CC2">
      <w:pPr>
        <w:jc w:val="both"/>
        <w:rPr>
          <w:rFonts w:ascii="Times New Roman" w:hAnsi="Times New Roman"/>
          <w:sz w:val="24"/>
          <w:szCs w:val="24"/>
        </w:rPr>
      </w:pPr>
      <w:r w:rsidRPr="00432CC2">
        <w:rPr>
          <w:rFonts w:ascii="Times New Roman" w:hAnsi="Times New Roman"/>
          <w:sz w:val="24"/>
          <w:szCs w:val="24"/>
        </w:rPr>
        <w:t xml:space="preserve">GOSPODARENJE POLJOPRIVREDNIM ZEMLJIŠTEM U VLASNIŠTVU REPUBLIKE HRVATSKE ZA </w:t>
      </w:r>
      <w:r>
        <w:rPr>
          <w:rFonts w:ascii="Times New Roman" w:hAnsi="Times New Roman"/>
          <w:sz w:val="24"/>
          <w:szCs w:val="24"/>
        </w:rPr>
        <w:t>OPĆINU VELIKO TRGOVIŠĆE</w:t>
      </w:r>
    </w:p>
    <w:p w:rsidR="00432CC2" w:rsidRPr="00432CC2" w:rsidRDefault="00432CC2" w:rsidP="00432C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2CC2">
        <w:rPr>
          <w:rFonts w:ascii="Times New Roman" w:hAnsi="Times New Roman"/>
          <w:sz w:val="24"/>
          <w:szCs w:val="24"/>
        </w:rPr>
        <w:t>Sukladno Zakonu o poljoprivrednom zemljištu (</w:t>
      </w:r>
      <w:r>
        <w:rPr>
          <w:rFonts w:ascii="Times New Roman" w:hAnsi="Times New Roman"/>
          <w:sz w:val="24"/>
          <w:szCs w:val="24"/>
        </w:rPr>
        <w:t>„Narodne novine“ broj:</w:t>
      </w:r>
      <w:r w:rsidRPr="00432CC2">
        <w:rPr>
          <w:rFonts w:ascii="Times New Roman" w:hAnsi="Times New Roman"/>
          <w:sz w:val="24"/>
          <w:szCs w:val="24"/>
        </w:rPr>
        <w:t xml:space="preserve"> 20/2018, u daljnjem tekstu: Zakon) poljoprivredno zemljište je dobro od interesa za Republiku Hrvatsku i ima njezinu osobitu zaštitu. Poljoprivrednim zemljištem u smislu ovoga Zakona smatraju se poljoprivredne površine koje su po načinu uporabe u katastru opisane kao: oranice, vrtovi, livade, pašnjaci, voćnjaci, maslinici, vinogradi, ribnjaci, trstici i močvare kao i drugo zemljište koje se može privesti poljoprivrednoj proizvodnji. Poljoprivredno zemljište mora se održavati pogodnim za poljoprivrednu proizvodnju. Pod održavanjem poljoprivrednog zemljišta pogodnim za poljoprivrednu proizvodnju smatra se sprječavanje njegove zakorovljenosti i obrastanja višegodišnjim raslinjem, kao i smanjenje njegove plodnosti. Raspolaganje poljoprivrednim zemljištem u vlasništvu države u smislu ovoga Zakona predstavlja: zakup i zakup za ribnjake, zakup zajedničkih pašnjaka, privremeno korištenje, </w:t>
      </w:r>
      <w:r w:rsidRPr="00432CC2">
        <w:rPr>
          <w:rFonts w:ascii="Times New Roman" w:hAnsi="Times New Roman"/>
          <w:sz w:val="24"/>
          <w:szCs w:val="24"/>
        </w:rPr>
        <w:lastRenderedPageBreak/>
        <w:t>zamjena, prodaja, prodaja izravnom pogodbom, davanje na korištenje izravnom pogodbom, razvrgnuće suvlasničke zajednice, osnivanje prava građenja i os</w:t>
      </w:r>
      <w:r>
        <w:rPr>
          <w:rFonts w:ascii="Times New Roman" w:hAnsi="Times New Roman"/>
          <w:sz w:val="24"/>
          <w:szCs w:val="24"/>
        </w:rPr>
        <w:t>nivanje prava služnosti. Osnovno načelo</w:t>
      </w:r>
      <w:r w:rsidRPr="00432CC2">
        <w:rPr>
          <w:rFonts w:ascii="Times New Roman" w:hAnsi="Times New Roman"/>
          <w:sz w:val="24"/>
          <w:szCs w:val="24"/>
        </w:rPr>
        <w:t xml:space="preserve"> raspolaganja državnim poljoprivrednim zemljištem na području </w:t>
      </w:r>
      <w:r>
        <w:rPr>
          <w:rFonts w:ascii="Times New Roman" w:hAnsi="Times New Roman"/>
          <w:sz w:val="24"/>
          <w:szCs w:val="24"/>
        </w:rPr>
        <w:t xml:space="preserve">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432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da</w:t>
      </w:r>
      <w:r w:rsidRPr="00432CC2">
        <w:rPr>
          <w:rFonts w:ascii="Times New Roman" w:hAnsi="Times New Roman"/>
          <w:sz w:val="24"/>
          <w:szCs w:val="24"/>
        </w:rPr>
        <w:t xml:space="preserve">  zemljište mora biti u funkciji poljoprivredne proizvodnje uzimajući u obzir tradicijsku proizvodnju ovog kraja i specifičnosti pojedinih poljoprivrednih površina</w:t>
      </w:r>
      <w:r>
        <w:rPr>
          <w:rFonts w:ascii="Times New Roman" w:hAnsi="Times New Roman"/>
          <w:sz w:val="24"/>
          <w:szCs w:val="24"/>
        </w:rPr>
        <w:t>.</w:t>
      </w:r>
      <w:r w:rsidRPr="00432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CC2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</w:p>
    <w:p w:rsidR="00432CC2" w:rsidRDefault="00432CC2" w:rsidP="00432CC2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432CC2">
        <w:rPr>
          <w:rFonts w:ascii="Times New Roman" w:hAnsi="Times New Roman"/>
          <w:sz w:val="24"/>
          <w:szCs w:val="24"/>
        </w:rPr>
        <w:t>UKUPNA POVRŠINA POLJOPRIVREDNOG ZEMLJIŠTA U VLASNIŠTVU REPUBLIKE HRVATSKE</w:t>
      </w:r>
    </w:p>
    <w:p w:rsidR="00432CC2" w:rsidRDefault="00F41370" w:rsidP="00432CC2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Usporedbom službeno dostavlje</w:t>
      </w:r>
      <w:r w:rsidR="00432CC2" w:rsidRPr="00432CC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ih</w:t>
      </w:r>
      <w:r w:rsidR="00432CC2" w:rsidRPr="00432CC2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 xml:space="preserve">dataka Državne geodetske uprave  sa podacima iz zemljišnih knjiga utvrđeno je da </w:t>
      </w:r>
      <w:r w:rsidR="00432CC2" w:rsidRPr="00432CC2">
        <w:rPr>
          <w:rFonts w:ascii="Times New Roman" w:hAnsi="Times New Roman"/>
          <w:sz w:val="24"/>
          <w:szCs w:val="24"/>
        </w:rPr>
        <w:t xml:space="preserve">ukupna površina poljoprivrednog zemljišta u vlasništvu Republike Hrvatske, koje je u katastarskom </w:t>
      </w:r>
      <w:proofErr w:type="spellStart"/>
      <w:r w:rsidR="00432CC2" w:rsidRPr="00432CC2">
        <w:rPr>
          <w:rFonts w:ascii="Times New Roman" w:hAnsi="Times New Roman"/>
          <w:sz w:val="24"/>
          <w:szCs w:val="24"/>
        </w:rPr>
        <w:t>operatu</w:t>
      </w:r>
      <w:proofErr w:type="spellEnd"/>
      <w:r w:rsidR="00432CC2" w:rsidRPr="00432CC2">
        <w:rPr>
          <w:rFonts w:ascii="Times New Roman" w:hAnsi="Times New Roman"/>
          <w:sz w:val="24"/>
          <w:szCs w:val="24"/>
        </w:rPr>
        <w:t xml:space="preserve"> nadlež</w:t>
      </w:r>
      <w:r w:rsidR="00432CC2">
        <w:rPr>
          <w:rFonts w:ascii="Times New Roman" w:hAnsi="Times New Roman"/>
          <w:sz w:val="24"/>
          <w:szCs w:val="24"/>
        </w:rPr>
        <w:t>nog Područnog ureda za katastar</w:t>
      </w:r>
      <w:r w:rsidR="00432CC2" w:rsidRPr="00432CC2">
        <w:rPr>
          <w:rFonts w:ascii="Times New Roman" w:hAnsi="Times New Roman"/>
          <w:sz w:val="24"/>
          <w:szCs w:val="24"/>
        </w:rPr>
        <w:t xml:space="preserve">, upisana kao poljoprivredno zemljište </w:t>
      </w:r>
      <w:r w:rsidR="00432CC2">
        <w:rPr>
          <w:rFonts w:ascii="Times New Roman" w:hAnsi="Times New Roman"/>
          <w:sz w:val="24"/>
          <w:szCs w:val="24"/>
        </w:rPr>
        <w:t xml:space="preserve"> u vlasništvu Republike Hrvatske</w:t>
      </w:r>
      <w:r>
        <w:rPr>
          <w:rFonts w:ascii="Times New Roman" w:hAnsi="Times New Roman"/>
          <w:sz w:val="24"/>
          <w:szCs w:val="24"/>
        </w:rPr>
        <w:t>,</w:t>
      </w:r>
      <w:r w:rsidR="00432CC2">
        <w:rPr>
          <w:rFonts w:ascii="Times New Roman" w:hAnsi="Times New Roman"/>
          <w:sz w:val="24"/>
          <w:szCs w:val="24"/>
        </w:rPr>
        <w:t xml:space="preserve"> </w:t>
      </w:r>
      <w:r w:rsidR="00432CC2" w:rsidRPr="00432CC2">
        <w:rPr>
          <w:rFonts w:ascii="Times New Roman" w:hAnsi="Times New Roman"/>
          <w:sz w:val="24"/>
          <w:szCs w:val="24"/>
        </w:rPr>
        <w:t xml:space="preserve"> iznosi </w:t>
      </w:r>
      <w:r w:rsidR="008823FD">
        <w:rPr>
          <w:rFonts w:ascii="Times New Roman" w:hAnsi="Times New Roman"/>
          <w:sz w:val="24"/>
          <w:szCs w:val="24"/>
        </w:rPr>
        <w:t>1,9404</w:t>
      </w:r>
      <w:r w:rsidR="00432CC2" w:rsidRPr="00432CC2">
        <w:rPr>
          <w:rFonts w:ascii="Times New Roman" w:hAnsi="Times New Roman"/>
          <w:sz w:val="24"/>
          <w:szCs w:val="24"/>
        </w:rPr>
        <w:t xml:space="preserve"> ha. </w:t>
      </w:r>
    </w:p>
    <w:p w:rsidR="0088227C" w:rsidRDefault="00F41370" w:rsidP="00432CC2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katastarskim česticama </w:t>
      </w:r>
      <w:r w:rsidRPr="00432CC2">
        <w:rPr>
          <w:rFonts w:ascii="Times New Roman" w:hAnsi="Times New Roman"/>
          <w:sz w:val="24"/>
          <w:szCs w:val="24"/>
        </w:rPr>
        <w:t xml:space="preserve">poljoprivrednog zemljišta u vlasništvu RH za </w:t>
      </w:r>
      <w:r>
        <w:rPr>
          <w:rFonts w:ascii="Times New Roman" w:hAnsi="Times New Roman"/>
          <w:sz w:val="24"/>
          <w:szCs w:val="24"/>
        </w:rPr>
        <w:t xml:space="preserve">općinu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 dobiven  od DGU te </w:t>
      </w:r>
      <w:r w:rsidRPr="00432CC2">
        <w:rPr>
          <w:rFonts w:ascii="Times New Roman" w:hAnsi="Times New Roman"/>
          <w:sz w:val="24"/>
          <w:szCs w:val="24"/>
        </w:rPr>
        <w:t xml:space="preserve"> </w:t>
      </w:r>
      <w:r w:rsidR="00432CC2" w:rsidRPr="00432CC2">
        <w:rPr>
          <w:rFonts w:ascii="Times New Roman" w:hAnsi="Times New Roman"/>
          <w:sz w:val="24"/>
          <w:szCs w:val="24"/>
        </w:rPr>
        <w:t xml:space="preserve">Popis </w:t>
      </w:r>
      <w:r>
        <w:rPr>
          <w:rFonts w:ascii="Times New Roman" w:hAnsi="Times New Roman"/>
          <w:sz w:val="24"/>
          <w:szCs w:val="24"/>
        </w:rPr>
        <w:t xml:space="preserve">katastarskih čestica  za koje je nakon usporedbe podataka sa stanjem u zemljišnim knjigama utvrđeno da su poljoprivredne namjene u vlasništvu RH ( po oblicima raspolaganja) </w:t>
      </w:r>
      <w:r w:rsidR="00432CC2" w:rsidRPr="00432CC2">
        <w:rPr>
          <w:rFonts w:ascii="Times New Roman" w:hAnsi="Times New Roman"/>
          <w:sz w:val="24"/>
          <w:szCs w:val="24"/>
        </w:rPr>
        <w:t xml:space="preserve"> nalazi se u PRILOGU 1. </w:t>
      </w:r>
    </w:p>
    <w:p w:rsidR="0088227C" w:rsidRDefault="0088227C" w:rsidP="00432CC2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8227C" w:rsidRDefault="00432CC2" w:rsidP="0088227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432CC2">
        <w:rPr>
          <w:rFonts w:ascii="Times New Roman" w:hAnsi="Times New Roman"/>
          <w:sz w:val="24"/>
          <w:szCs w:val="24"/>
        </w:rPr>
        <w:t xml:space="preserve">PODACI O DOSADAŠNJEM RASPOLAGANJU POLJOPRIVREDNIM ZEMLJIŠTEM U VLASNIŠTVU DRŽAVE </w:t>
      </w:r>
    </w:p>
    <w:p w:rsidR="00432CC2" w:rsidRPr="00432CC2" w:rsidRDefault="0088227C" w:rsidP="0088227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Osnov</w:t>
      </w:r>
      <w:proofErr w:type="spellEnd"/>
      <w:r>
        <w:rPr>
          <w:rFonts w:ascii="Times New Roman" w:hAnsi="Times New Roman"/>
          <w:sz w:val="24"/>
          <w:szCs w:val="24"/>
        </w:rPr>
        <w:t xml:space="preserve"> i oblik dosadašnjeg  raspolaganja p</w:t>
      </w:r>
      <w:r w:rsidR="00432CC2" w:rsidRPr="00432CC2">
        <w:rPr>
          <w:rFonts w:ascii="Times New Roman" w:hAnsi="Times New Roman"/>
          <w:sz w:val="24"/>
          <w:szCs w:val="24"/>
        </w:rPr>
        <w:t xml:space="preserve">oljoprivrednim zemljište u vlasništvu Republike Hrvatske na području </w:t>
      </w:r>
      <w:r>
        <w:rPr>
          <w:rFonts w:ascii="Times New Roman" w:hAnsi="Times New Roman"/>
          <w:sz w:val="24"/>
          <w:szCs w:val="24"/>
        </w:rPr>
        <w:t xml:space="preserve">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nije pravno reguliran. </w:t>
      </w:r>
      <w:r w:rsidR="00432CC2" w:rsidRPr="00432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700F" w:rsidRDefault="00A8700F" w:rsidP="00A8700F">
      <w:pPr>
        <w:pStyle w:val="Odlomakpopisa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Tr="000B247D">
        <w:tc>
          <w:tcPr>
            <w:tcW w:w="3096" w:type="dxa"/>
            <w:vAlign w:val="center"/>
          </w:tcPr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Default="008823FD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1,9404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6EB">
              <w:rPr>
                <w:rFonts w:ascii="Times New Roman" w:hAnsi="Times New Roman" w:cs="Times New Roman"/>
              </w:rPr>
              <w:t xml:space="preserve">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9B00C7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0,00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rPr>
          <w:trHeight w:val="636"/>
        </w:trPr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Default="009B00C7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0,00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Default="009B00C7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0,00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Default="009B00C7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0,00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A23073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Default="009B00C7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0,00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</w:tbl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9B00C7">
        <w:rPr>
          <w:rFonts w:ascii="Times New Roman" w:hAnsi="Times New Roman"/>
          <w:sz w:val="24"/>
          <w:szCs w:val="24"/>
        </w:rPr>
        <w:t xml:space="preserve">     0,00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88227C" w:rsidRDefault="0088227C" w:rsidP="008822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27C">
        <w:rPr>
          <w:rFonts w:ascii="Times New Roman" w:hAnsi="Times New Roman" w:cs="Times New Roman"/>
          <w:sz w:val="24"/>
          <w:szCs w:val="24"/>
        </w:rPr>
        <w:lastRenderedPageBreak/>
        <w:t xml:space="preserve">POVRŠINE ODREĐENE ZA POVRAT </w:t>
      </w:r>
    </w:p>
    <w:p w:rsidR="00B91FFC" w:rsidRDefault="0088227C" w:rsidP="008822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227C">
        <w:rPr>
          <w:rFonts w:ascii="Times New Roman" w:hAnsi="Times New Roman" w:cs="Times New Roman"/>
          <w:sz w:val="24"/>
          <w:szCs w:val="24"/>
        </w:rPr>
        <w:t xml:space="preserve">Ured državne uprave u </w:t>
      </w:r>
      <w:r>
        <w:rPr>
          <w:rFonts w:ascii="Times New Roman" w:hAnsi="Times New Roman" w:cs="Times New Roman"/>
          <w:sz w:val="24"/>
          <w:szCs w:val="24"/>
        </w:rPr>
        <w:t>Krapinsko zagorskoj županiji</w:t>
      </w:r>
      <w:r w:rsidRPr="008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7C">
        <w:rPr>
          <w:rFonts w:ascii="Times New Roman" w:hAnsi="Times New Roman" w:cs="Times New Roman"/>
          <w:sz w:val="24"/>
          <w:szCs w:val="24"/>
        </w:rPr>
        <w:t xml:space="preserve"> očitovao se da je </w:t>
      </w:r>
      <w:r>
        <w:rPr>
          <w:rFonts w:ascii="Times New Roman" w:hAnsi="Times New Roman" w:cs="Times New Roman"/>
          <w:sz w:val="24"/>
          <w:szCs w:val="24"/>
        </w:rPr>
        <w:t xml:space="preserve">u predmetima povrata/naknade za imovinu oduzetu  </w:t>
      </w:r>
      <w:r w:rsidRPr="0088227C">
        <w:rPr>
          <w:rFonts w:ascii="Times New Roman" w:hAnsi="Times New Roman" w:cs="Times New Roman"/>
          <w:sz w:val="24"/>
          <w:szCs w:val="24"/>
        </w:rPr>
        <w:t>za vrijeme jugoslavenske komunističke vladavine</w:t>
      </w:r>
      <w:r>
        <w:rPr>
          <w:rFonts w:ascii="Times New Roman" w:hAnsi="Times New Roman" w:cs="Times New Roman"/>
          <w:sz w:val="24"/>
          <w:szCs w:val="24"/>
        </w:rPr>
        <w:t>, prema Zakonu o naknadi za imovinu oduzetu za vrijeme jugoslavenske komunističke vladavine („Narodne novine“ broj:</w:t>
      </w:r>
      <w:r w:rsidRPr="008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92/96,</w:t>
      </w:r>
      <w:r w:rsidR="00B9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39/99,</w:t>
      </w:r>
      <w:r w:rsidR="00B9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92/99,</w:t>
      </w:r>
      <w:r w:rsidR="00B9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43/00,</w:t>
      </w:r>
      <w:r w:rsidR="00B9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131/00,</w:t>
      </w:r>
      <w:r w:rsidR="00B9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27/01,</w:t>
      </w:r>
      <w:r w:rsidR="00B9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34/01,</w:t>
      </w:r>
      <w:r w:rsidR="00B9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118/01</w:t>
      </w:r>
      <w:r w:rsidR="00B91FFC">
        <w:rPr>
          <w:rFonts w:ascii="Times New Roman" w:hAnsi="Times New Roman" w:cs="Times New Roman"/>
          <w:sz w:val="24"/>
          <w:szCs w:val="24"/>
        </w:rPr>
        <w:t xml:space="preserve">, 80/02. i 81/02.)  podnesen zahtjev za ukupno 12649 </w:t>
      </w:r>
      <w:proofErr w:type="spellStart"/>
      <w:r w:rsidR="00B91FFC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B91FFC">
        <w:rPr>
          <w:rFonts w:ascii="Times New Roman" w:hAnsi="Times New Roman" w:cs="Times New Roman"/>
          <w:sz w:val="24"/>
          <w:szCs w:val="24"/>
        </w:rPr>
        <w:t xml:space="preserve"> ( 4,5536 ha) poljoprivrednog zemljišta. </w:t>
      </w:r>
    </w:p>
    <w:p w:rsidR="00B91FFC" w:rsidRDefault="00B91FFC" w:rsidP="008822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na čitavom području Općine nalazi ukupno </w:t>
      </w:r>
      <w:r w:rsidR="008823FD">
        <w:rPr>
          <w:rFonts w:ascii="Times New Roman" w:hAnsi="Times New Roman" w:cs="Times New Roman"/>
          <w:sz w:val="24"/>
          <w:szCs w:val="24"/>
        </w:rPr>
        <w:t>1,9404</w:t>
      </w:r>
      <w:r>
        <w:rPr>
          <w:rFonts w:ascii="Times New Roman" w:hAnsi="Times New Roman" w:cs="Times New Roman"/>
          <w:sz w:val="24"/>
          <w:szCs w:val="24"/>
        </w:rPr>
        <w:t xml:space="preserve"> ha poljoprivrednog zemljišta u vlasništvu Republike Hrvatske, cjelokupna navedena površina predviđa se za povrat, iz čega proizlazi da na području općine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postoje površine zemljišta za prodaju, zakup, zakup za ribnjake, zakup zajedničkih pašnjaka te za ostale namjene.</w:t>
      </w:r>
    </w:p>
    <w:p w:rsidR="00B91FFC" w:rsidRDefault="00B91FFC" w:rsidP="008822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25CF" w:rsidRDefault="00B91FFC" w:rsidP="008822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27C" w:rsidRPr="0088227C">
        <w:rPr>
          <w:rFonts w:ascii="Times New Roman" w:hAnsi="Times New Roman" w:cs="Times New Roman"/>
          <w:sz w:val="24"/>
          <w:szCs w:val="24"/>
        </w:rPr>
        <w:t xml:space="preserve"> PRILOZI: </w:t>
      </w:r>
    </w:p>
    <w:p w:rsidR="00932F7F" w:rsidRDefault="0088227C" w:rsidP="00C625C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27C">
        <w:rPr>
          <w:rFonts w:ascii="Times New Roman" w:hAnsi="Times New Roman" w:cs="Times New Roman"/>
          <w:sz w:val="24"/>
          <w:szCs w:val="24"/>
        </w:rPr>
        <w:t xml:space="preserve">1. Dokumentacija sukladno Pravilniku o dokumentaciji potrebnoj za donošenje Programa raspolaganja poljoprivrednim zemljištem u vlasništvu RH (NN 27/2018): </w:t>
      </w:r>
    </w:p>
    <w:p w:rsidR="00932F7F" w:rsidRDefault="00932F7F" w:rsidP="00C625C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</w:t>
      </w:r>
      <w:r w:rsidR="0088227C" w:rsidRPr="0088227C">
        <w:rPr>
          <w:rFonts w:ascii="Times New Roman" w:hAnsi="Times New Roman" w:cs="Times New Roman"/>
          <w:sz w:val="24"/>
          <w:szCs w:val="24"/>
        </w:rPr>
        <w:t>opija katastarskog plana</w:t>
      </w:r>
      <w:r>
        <w:rPr>
          <w:rFonts w:ascii="Times New Roman" w:hAnsi="Times New Roman" w:cs="Times New Roman"/>
          <w:sz w:val="24"/>
          <w:szCs w:val="24"/>
        </w:rPr>
        <w:t xml:space="preserve"> – kartografski prikaz općine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katastarskim općinama,</w:t>
      </w:r>
    </w:p>
    <w:p w:rsidR="00932F7F" w:rsidRDefault="00932F7F" w:rsidP="00932F7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katastarskih čestica dostavljen od nadležne </w:t>
      </w:r>
      <w:r w:rsidR="0088227C" w:rsidRPr="0088227C">
        <w:rPr>
          <w:rFonts w:ascii="Times New Roman" w:hAnsi="Times New Roman" w:cs="Times New Roman"/>
          <w:sz w:val="24"/>
          <w:szCs w:val="24"/>
        </w:rPr>
        <w:t xml:space="preserve"> DGU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1A1D" w:rsidRDefault="00091A1D" w:rsidP="00932F7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raspolaganja po katastarskim česticama i oblicima raspolaganja</w:t>
      </w:r>
    </w:p>
    <w:p w:rsidR="00932F7F" w:rsidRDefault="00932F7F" w:rsidP="00C625C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 z</w:t>
      </w:r>
      <w:r w:rsidR="00091A1D">
        <w:rPr>
          <w:rFonts w:ascii="Times New Roman" w:hAnsi="Times New Roman" w:cs="Times New Roman"/>
          <w:sz w:val="24"/>
          <w:szCs w:val="24"/>
        </w:rPr>
        <w:t xml:space="preserve">emljišnoknjižni </w:t>
      </w:r>
      <w:proofErr w:type="spellStart"/>
      <w:r w:rsidR="00091A1D">
        <w:rPr>
          <w:rFonts w:ascii="Times New Roman" w:hAnsi="Times New Roman" w:cs="Times New Roman"/>
          <w:sz w:val="24"/>
          <w:szCs w:val="24"/>
        </w:rPr>
        <w:t>izvat</w:t>
      </w:r>
      <w:r w:rsidR="0088227C" w:rsidRPr="0088227C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88227C" w:rsidRPr="008822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2F7F" w:rsidRDefault="00932F7F" w:rsidP="00932F7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227C" w:rsidRPr="0088227C">
        <w:rPr>
          <w:rFonts w:ascii="Times New Roman" w:hAnsi="Times New Roman" w:cs="Times New Roman"/>
          <w:sz w:val="24"/>
          <w:szCs w:val="24"/>
        </w:rPr>
        <w:t>osjedovni listovi,</w:t>
      </w:r>
    </w:p>
    <w:p w:rsidR="00932F7F" w:rsidRDefault="00932F7F" w:rsidP="00932F7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 u</w:t>
      </w:r>
      <w:r w:rsidR="0088227C" w:rsidRPr="0088227C">
        <w:rPr>
          <w:rFonts w:ascii="Times New Roman" w:hAnsi="Times New Roman" w:cs="Times New Roman"/>
          <w:sz w:val="24"/>
          <w:szCs w:val="24"/>
        </w:rPr>
        <w:t xml:space="preserve">vjerenje Upravnog </w:t>
      </w:r>
      <w:r>
        <w:rPr>
          <w:rFonts w:ascii="Times New Roman" w:hAnsi="Times New Roman" w:cs="Times New Roman"/>
          <w:sz w:val="24"/>
          <w:szCs w:val="24"/>
        </w:rPr>
        <w:t xml:space="preserve">odjela za prostorno uređenje, gradnju i zaštitu okoliša Zabok o položaju katastarskih čestica u odnosu na PPUO </w:t>
      </w:r>
      <w:r w:rsidR="009C2EA3">
        <w:rPr>
          <w:rFonts w:ascii="Times New Roman" w:hAnsi="Times New Roman" w:cs="Times New Roman"/>
          <w:sz w:val="24"/>
          <w:szCs w:val="24"/>
        </w:rPr>
        <w:t xml:space="preserve"> i</w:t>
      </w:r>
      <w:r w:rsidR="009C2EA3" w:rsidRPr="0088227C">
        <w:rPr>
          <w:rFonts w:ascii="Times New Roman" w:hAnsi="Times New Roman" w:cs="Times New Roman"/>
          <w:sz w:val="24"/>
          <w:szCs w:val="24"/>
        </w:rPr>
        <w:t xml:space="preserve"> obuhvatu postojećeg i/ili planiranog sustava javnog navodnjavanja,</w:t>
      </w:r>
    </w:p>
    <w:p w:rsidR="00932F7F" w:rsidRDefault="00CF3908" w:rsidP="00932F7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</w:t>
      </w:r>
      <w:r w:rsidR="0088227C" w:rsidRPr="0088227C">
        <w:rPr>
          <w:rFonts w:ascii="Times New Roman" w:hAnsi="Times New Roman" w:cs="Times New Roman"/>
          <w:sz w:val="24"/>
          <w:szCs w:val="24"/>
        </w:rPr>
        <w:t xml:space="preserve">čitovanje Ureda državne uprave u </w:t>
      </w:r>
      <w:r w:rsidR="00932F7F">
        <w:rPr>
          <w:rFonts w:ascii="Times New Roman" w:hAnsi="Times New Roman" w:cs="Times New Roman"/>
          <w:sz w:val="24"/>
          <w:szCs w:val="24"/>
        </w:rPr>
        <w:t xml:space="preserve">KZŽ  </w:t>
      </w:r>
      <w:r w:rsidR="0088227C" w:rsidRPr="0088227C">
        <w:rPr>
          <w:rFonts w:ascii="Times New Roman" w:hAnsi="Times New Roman" w:cs="Times New Roman"/>
          <w:sz w:val="24"/>
          <w:szCs w:val="24"/>
        </w:rPr>
        <w:t>o podnesenim zahtjevima za povrat</w:t>
      </w:r>
      <w:r w:rsidR="00932F7F">
        <w:rPr>
          <w:rFonts w:ascii="Times New Roman" w:hAnsi="Times New Roman" w:cs="Times New Roman"/>
          <w:sz w:val="24"/>
          <w:szCs w:val="24"/>
        </w:rPr>
        <w:t>/naknadu</w:t>
      </w:r>
      <w:r w:rsidR="0088227C" w:rsidRPr="0088227C">
        <w:rPr>
          <w:rFonts w:ascii="Times New Roman" w:hAnsi="Times New Roman" w:cs="Times New Roman"/>
          <w:sz w:val="24"/>
          <w:szCs w:val="24"/>
        </w:rPr>
        <w:t xml:space="preserve"> oduzete imovine, </w:t>
      </w:r>
    </w:p>
    <w:p w:rsidR="009C2EA3" w:rsidRDefault="0088227C" w:rsidP="00932F7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227C">
        <w:rPr>
          <w:rFonts w:ascii="Times New Roman" w:hAnsi="Times New Roman" w:cs="Times New Roman"/>
          <w:sz w:val="24"/>
          <w:szCs w:val="24"/>
        </w:rPr>
        <w:t xml:space="preserve">– </w:t>
      </w:r>
      <w:r w:rsidR="00CF3908">
        <w:rPr>
          <w:rFonts w:ascii="Times New Roman" w:hAnsi="Times New Roman" w:cs="Times New Roman"/>
          <w:sz w:val="24"/>
          <w:szCs w:val="24"/>
        </w:rPr>
        <w:t>o</w:t>
      </w:r>
      <w:r w:rsidR="00932F7F">
        <w:rPr>
          <w:rFonts w:ascii="Times New Roman" w:hAnsi="Times New Roman" w:cs="Times New Roman"/>
          <w:sz w:val="24"/>
          <w:szCs w:val="24"/>
        </w:rPr>
        <w:t>čitovanje Hrvatskih šuma d.o.o. o statusu nekretnina</w:t>
      </w:r>
      <w:r w:rsidRPr="0088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EA3" w:rsidRDefault="009C2EA3" w:rsidP="00932F7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F390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čitovanje Hrvatskih voda</w:t>
      </w:r>
      <w:r w:rsidR="0088227C" w:rsidRPr="008822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priložit će se po </w:t>
      </w:r>
      <w:r w:rsidR="00CF3908">
        <w:rPr>
          <w:rFonts w:ascii="Times New Roman" w:hAnsi="Times New Roman" w:cs="Times New Roman"/>
          <w:sz w:val="24"/>
          <w:szCs w:val="24"/>
        </w:rPr>
        <w:t>zaprimljenom</w:t>
      </w:r>
      <w:r>
        <w:rPr>
          <w:rFonts w:ascii="Times New Roman" w:hAnsi="Times New Roman" w:cs="Times New Roman"/>
          <w:sz w:val="24"/>
          <w:szCs w:val="24"/>
        </w:rPr>
        <w:t xml:space="preserve"> očitovanju,</w:t>
      </w:r>
    </w:p>
    <w:p w:rsidR="00CF3908" w:rsidRDefault="00CF3908" w:rsidP="00CF3908">
      <w:pPr>
        <w:pStyle w:val="Bezproreda"/>
        <w:numPr>
          <w:ilvl w:val="0"/>
          <w:numId w:val="4"/>
        </w:numPr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pregled minski sumnjivih površina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izlist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službene web stranice Hrvatskog centra za razminiranje </w:t>
      </w:r>
    </w:p>
    <w:p w:rsidR="005D0441" w:rsidRPr="0088227C" w:rsidRDefault="00CF3908" w:rsidP="00932F7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41" w:rsidRPr="005850AF" w:rsidRDefault="005D0441" w:rsidP="0088227C">
      <w:pPr>
        <w:pStyle w:val="Bezproreda"/>
        <w:jc w:val="both"/>
        <w:rPr>
          <w:rFonts w:cs="Times New Roman"/>
        </w:rPr>
      </w:pPr>
      <w:r w:rsidRPr="0088227C">
        <w:rPr>
          <w:rFonts w:ascii="Times New Roman" w:hAnsi="Times New Roman" w:cs="Times New Roman"/>
          <w:b/>
          <w:sz w:val="24"/>
          <w:szCs w:val="24"/>
        </w:rPr>
        <w:t>NAPOMENA/OBRAZLOŽENJE</w:t>
      </w:r>
      <w:r w:rsidRPr="0088227C"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</w:t>
      </w:r>
      <w:r>
        <w:rPr>
          <w:rFonts w:cs="Times New Roman"/>
        </w:rPr>
        <w:t xml:space="preserve">): </w:t>
      </w:r>
    </w:p>
    <w:tbl>
      <w:tblPr>
        <w:tblStyle w:val="Reetkatablice"/>
        <w:tblW w:w="8433" w:type="dxa"/>
        <w:tblLook w:val="04A0" w:firstRow="1" w:lastRow="0" w:firstColumn="1" w:lastColumn="0" w:noHBand="0" w:noVBand="1"/>
      </w:tblPr>
      <w:tblGrid>
        <w:gridCol w:w="8433"/>
      </w:tblGrid>
      <w:tr w:rsidR="005D0441" w:rsidTr="00091A1D">
        <w:trPr>
          <w:trHeight w:val="2045"/>
        </w:trPr>
        <w:tc>
          <w:tcPr>
            <w:tcW w:w="8433" w:type="dxa"/>
          </w:tcPr>
          <w:p w:rsidR="005D0441" w:rsidRDefault="005D0441" w:rsidP="000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</w:pPr>
    </w:p>
    <w:p w:rsidR="00A8700F" w:rsidRPr="00A8700F" w:rsidRDefault="00A8700F" w:rsidP="00A87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8700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KLASA:  023-01/18-01/169 </w:t>
      </w:r>
    </w:p>
    <w:p w:rsidR="00A8700F" w:rsidRPr="00A8700F" w:rsidRDefault="00A8700F" w:rsidP="00A87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proofErr w:type="spellStart"/>
      <w:r w:rsidRPr="00A8700F">
        <w:rPr>
          <w:rFonts w:ascii="Times New Roman" w:eastAsia="Calibri" w:hAnsi="Times New Roman" w:cs="Times New Roman"/>
          <w:sz w:val="24"/>
          <w:szCs w:val="24"/>
          <w:lang w:eastAsia="hr-HR"/>
        </w:rPr>
        <w:t>UR.BROJ</w:t>
      </w:r>
      <w:proofErr w:type="spellEnd"/>
      <w:r w:rsidRPr="00A8700F">
        <w:rPr>
          <w:rFonts w:ascii="Times New Roman" w:eastAsia="Calibri" w:hAnsi="Times New Roman" w:cs="Times New Roman"/>
          <w:sz w:val="24"/>
          <w:szCs w:val="24"/>
          <w:lang w:eastAsia="hr-HR"/>
        </w:rPr>
        <w:t>:  2197/05-</w:t>
      </w:r>
      <w:proofErr w:type="spellStart"/>
      <w:r w:rsidRPr="00A8700F">
        <w:rPr>
          <w:rFonts w:ascii="Times New Roman" w:eastAsia="Calibri" w:hAnsi="Times New Roman" w:cs="Times New Roman"/>
          <w:sz w:val="24"/>
          <w:szCs w:val="24"/>
          <w:lang w:eastAsia="hr-HR"/>
        </w:rPr>
        <w:t>05</w:t>
      </w:r>
      <w:proofErr w:type="spellEnd"/>
      <w:r w:rsidRPr="00A8700F">
        <w:rPr>
          <w:rFonts w:ascii="Times New Roman" w:eastAsia="Calibri" w:hAnsi="Times New Roman" w:cs="Times New Roman"/>
          <w:sz w:val="24"/>
          <w:szCs w:val="24"/>
          <w:lang w:eastAsia="hr-HR"/>
        </w:rPr>
        <w:t>-18-2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A8700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5D0441" w:rsidRDefault="00A8700F" w:rsidP="00A8700F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8700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A8700F">
        <w:rPr>
          <w:rFonts w:ascii="Times New Roman" w:eastAsia="Calibri" w:hAnsi="Times New Roman" w:cs="Times New Roman"/>
          <w:sz w:val="24"/>
          <w:szCs w:val="24"/>
          <w:lang w:eastAsia="hr-HR"/>
        </w:rPr>
        <w:t>Trgovišće</w:t>
      </w:r>
      <w:proofErr w:type="spellEnd"/>
      <w:r w:rsidRPr="00A8700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09766E">
        <w:rPr>
          <w:rFonts w:ascii="Times New Roman" w:eastAsia="Calibri" w:hAnsi="Times New Roman" w:cs="Times New Roman"/>
          <w:sz w:val="24"/>
          <w:szCs w:val="24"/>
          <w:lang w:eastAsia="hr-HR"/>
        </w:rPr>
        <w:t>13.07.2018.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A4058A" w:rsidRDefault="00A8700F" w:rsidP="00A8700F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A4058A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A4058A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</w:t>
      </w:r>
      <w:bookmarkStart w:id="0" w:name="_GoBack"/>
      <w:bookmarkEnd w:id="0"/>
      <w:r w:rsidR="004C4E10">
        <w:rPr>
          <w:rFonts w:ascii="Times New Roman" w:eastAsia="Calibri" w:hAnsi="Times New Roman" w:cs="Times New Roman"/>
          <w:sz w:val="24"/>
          <w:szCs w:val="24"/>
        </w:rPr>
        <w:t>PREDSJEDN</w:t>
      </w:r>
      <w:r w:rsidR="00A4058A">
        <w:rPr>
          <w:rFonts w:ascii="Times New Roman" w:eastAsia="Calibri" w:hAnsi="Times New Roman" w:cs="Times New Roman"/>
          <w:sz w:val="24"/>
          <w:szCs w:val="24"/>
        </w:rPr>
        <w:t>IK</w:t>
      </w:r>
    </w:p>
    <w:p w:rsidR="00A8700F" w:rsidRPr="00A8700F" w:rsidRDefault="00A4058A" w:rsidP="00A8700F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700F" w:rsidRPr="00A8700F" w:rsidRDefault="00A8700F" w:rsidP="00A87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  <w:t>OPĆINSKOG VIJEĆA</w:t>
      </w:r>
    </w:p>
    <w:p w:rsidR="00A8700F" w:rsidRPr="00A8700F" w:rsidRDefault="00A8700F" w:rsidP="00A87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</w:r>
      <w:r w:rsidRPr="00A8700F">
        <w:rPr>
          <w:rFonts w:ascii="Times New Roman" w:eastAsia="Calibri" w:hAnsi="Times New Roman" w:cs="Times New Roman"/>
          <w:sz w:val="24"/>
          <w:szCs w:val="24"/>
        </w:rPr>
        <w:tab/>
        <w:t xml:space="preserve">Zlatko </w:t>
      </w:r>
      <w:proofErr w:type="spellStart"/>
      <w:r w:rsidRPr="00A8700F">
        <w:rPr>
          <w:rFonts w:ascii="Times New Roman" w:eastAsia="Calibri" w:hAnsi="Times New Roman" w:cs="Times New Roman"/>
          <w:sz w:val="24"/>
          <w:szCs w:val="24"/>
        </w:rPr>
        <w:t>Žeinski</w:t>
      </w:r>
      <w:proofErr w:type="spellEnd"/>
      <w:r w:rsidRPr="00A8700F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A8700F">
        <w:rPr>
          <w:rFonts w:ascii="Times New Roman" w:eastAsia="Calibri" w:hAnsi="Times New Roman" w:cs="Times New Roman"/>
          <w:sz w:val="24"/>
          <w:szCs w:val="24"/>
        </w:rPr>
        <w:t>dipl.oec</w:t>
      </w:r>
      <w:proofErr w:type="spellEnd"/>
      <w:r w:rsidRPr="00A87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700F" w:rsidRDefault="00A8700F" w:rsidP="00A8700F">
      <w:pPr>
        <w:rPr>
          <w:rFonts w:ascii="Times New Roman" w:hAnsi="Times New Roman" w:cs="Times New Roman"/>
          <w:b/>
          <w:sz w:val="24"/>
          <w:szCs w:val="24"/>
        </w:rPr>
        <w:sectPr w:rsidR="00A8700F" w:rsidSect="0002229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E4602" w:rsidRDefault="00A4058A" w:rsidP="00091A1D">
      <w:pPr>
        <w:jc w:val="both"/>
      </w:pPr>
    </w:p>
    <w:sectPr w:rsidR="00FE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6A6"/>
    <w:multiLevelType w:val="hybridMultilevel"/>
    <w:tmpl w:val="D0F00452"/>
    <w:lvl w:ilvl="0" w:tplc="5C7A34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2425"/>
    <w:multiLevelType w:val="hybridMultilevel"/>
    <w:tmpl w:val="E1CE254A"/>
    <w:lvl w:ilvl="0" w:tplc="C87CD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9050FA"/>
    <w:multiLevelType w:val="hybridMultilevel"/>
    <w:tmpl w:val="D50CA85A"/>
    <w:lvl w:ilvl="0" w:tplc="C0C24F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41"/>
    <w:rsid w:val="00091A1D"/>
    <w:rsid w:val="0009766E"/>
    <w:rsid w:val="000E706E"/>
    <w:rsid w:val="0011773B"/>
    <w:rsid w:val="00260472"/>
    <w:rsid w:val="002E6C19"/>
    <w:rsid w:val="0030652C"/>
    <w:rsid w:val="00432CC2"/>
    <w:rsid w:val="004C4E10"/>
    <w:rsid w:val="005D0441"/>
    <w:rsid w:val="0083563B"/>
    <w:rsid w:val="0088227C"/>
    <w:rsid w:val="008823FD"/>
    <w:rsid w:val="00932F7F"/>
    <w:rsid w:val="009B00C7"/>
    <w:rsid w:val="009C2EA3"/>
    <w:rsid w:val="009E11A9"/>
    <w:rsid w:val="00A4058A"/>
    <w:rsid w:val="00A8700F"/>
    <w:rsid w:val="00B57782"/>
    <w:rsid w:val="00B82D93"/>
    <w:rsid w:val="00B91FFC"/>
    <w:rsid w:val="00BE34DA"/>
    <w:rsid w:val="00BF2C4E"/>
    <w:rsid w:val="00C23AF9"/>
    <w:rsid w:val="00C625CF"/>
    <w:rsid w:val="00C8015F"/>
    <w:rsid w:val="00CD6A85"/>
    <w:rsid w:val="00CF3908"/>
    <w:rsid w:val="00D348CA"/>
    <w:rsid w:val="00D94F7C"/>
    <w:rsid w:val="00ED6A20"/>
    <w:rsid w:val="00F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Štefanija Benko</cp:lastModifiedBy>
  <cp:revision>16</cp:revision>
  <cp:lastPrinted>2018-07-12T09:11:00Z</cp:lastPrinted>
  <dcterms:created xsi:type="dcterms:W3CDTF">2018-03-22T09:55:00Z</dcterms:created>
  <dcterms:modified xsi:type="dcterms:W3CDTF">2018-07-12T11:37:00Z</dcterms:modified>
</cp:coreProperties>
</file>