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w:t>
      </w:r>
      <w:r w:rsidR="00330E85">
        <w:rPr>
          <w:rFonts w:ascii="Times New Roman" w:eastAsia="Times New Roman" w:hAnsi="Times New Roman" w:cs="Times New Roman"/>
          <w:sz w:val="24"/>
          <w:szCs w:val="24"/>
          <w:lang w:eastAsia="hr-HR"/>
        </w:rPr>
        <w:t>inski načelnik ROBERT GREBLIČKI</w:t>
      </w:r>
      <w:r w:rsidRPr="00092D67">
        <w:rPr>
          <w:rFonts w:ascii="Times New Roman" w:eastAsia="Times New Roman" w:hAnsi="Times New Roman" w:cs="Times New Roman"/>
          <w:sz w:val="24"/>
          <w:szCs w:val="24"/>
          <w:lang w:eastAsia="hr-HR"/>
        </w:rPr>
        <w:t xml:space="preserve">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zaključili su  ------------------- 201</w:t>
      </w:r>
      <w:r w:rsidR="0091234A">
        <w:rPr>
          <w:rFonts w:ascii="Times New Roman" w:eastAsia="Times New Roman" w:hAnsi="Times New Roman" w:cs="Times New Roman"/>
          <w:sz w:val="24"/>
          <w:szCs w:val="24"/>
          <w:lang w:eastAsia="hr-HR"/>
        </w:rPr>
        <w:t>8</w:t>
      </w:r>
      <w:r w:rsidRPr="00092D67">
        <w:rPr>
          <w:rFonts w:ascii="Times New Roman" w:eastAsia="Times New Roman" w:hAnsi="Times New Roman" w:cs="Times New Roman"/>
          <w:sz w:val="24"/>
          <w:szCs w:val="24"/>
          <w:lang w:eastAsia="hr-HR"/>
        </w:rPr>
        <w:t>.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97570E">
        <w:rPr>
          <w:rFonts w:ascii="Times New Roman" w:eastAsia="Times New Roman" w:hAnsi="Times New Roman" w:cs="Times New Roman"/>
          <w:b/>
          <w:sz w:val="24"/>
          <w:szCs w:val="24"/>
          <w:lang w:eastAsia="hr-HR"/>
        </w:rPr>
        <w:t>PROGRAMA/PROJEKTA/</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o dodjeli financijskih sredstava za financiranje</w:t>
      </w:r>
      <w:r w:rsidR="00535C88">
        <w:rPr>
          <w:rFonts w:ascii="Times New Roman" w:eastAsia="Times New Roman" w:hAnsi="Times New Roman" w:cs="Times New Roman"/>
          <w:b/>
          <w:sz w:val="24"/>
          <w:szCs w:val="24"/>
          <w:lang w:eastAsia="hr-HR"/>
        </w:rPr>
        <w:t xml:space="preserve"> projekata udruga</w:t>
      </w:r>
      <w:r w:rsidR="0002367A">
        <w:rPr>
          <w:rFonts w:ascii="Times New Roman" w:eastAsia="Times New Roman" w:hAnsi="Times New Roman" w:cs="Times New Roman"/>
          <w:b/>
          <w:sz w:val="24"/>
          <w:szCs w:val="24"/>
          <w:lang w:eastAsia="hr-HR"/>
        </w:rPr>
        <w:t xml:space="preserve"> s područja općine Veliko Trgovišće</w:t>
      </w:r>
      <w:r w:rsidR="00535C88">
        <w:rPr>
          <w:rFonts w:ascii="Times New Roman" w:eastAsia="Times New Roman" w:hAnsi="Times New Roman" w:cs="Times New Roman"/>
          <w:b/>
          <w:sz w:val="24"/>
          <w:szCs w:val="24"/>
          <w:lang w:eastAsia="hr-HR"/>
        </w:rPr>
        <w:t xml:space="preserve"> koje provode javne potrebe u društvenim djelatnostima i za financiranje</w:t>
      </w:r>
      <w:r w:rsidRPr="00092D67">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Trgovišće prilikom obilježavanja Dana </w:t>
      </w:r>
      <w:r w:rsidR="00535C88">
        <w:rPr>
          <w:rFonts w:ascii="Times New Roman" w:eastAsia="Times New Roman" w:hAnsi="Times New Roman" w:cs="Times New Roman"/>
          <w:b/>
          <w:sz w:val="24"/>
          <w:szCs w:val="24"/>
          <w:lang w:eastAsia="hr-HR"/>
        </w:rPr>
        <w:t>općine Veliko Trgovišće   u 201</w:t>
      </w:r>
      <w:r w:rsidR="009F5AEF">
        <w:rPr>
          <w:rFonts w:ascii="Times New Roman" w:eastAsia="Times New Roman" w:hAnsi="Times New Roman" w:cs="Times New Roman"/>
          <w:b/>
          <w:sz w:val="24"/>
          <w:szCs w:val="24"/>
          <w:lang w:eastAsia="hr-HR"/>
        </w:rPr>
        <w:t>8</w:t>
      </w:r>
      <w:r w:rsidR="00535C88">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97570E">
        <w:rPr>
          <w:rFonts w:ascii="Times New Roman" w:eastAsia="Times New Roman" w:hAnsi="Times New Roman" w:cs="Times New Roman"/>
          <w:b/>
          <w:sz w:val="24"/>
          <w:szCs w:val="24"/>
          <w:lang w:eastAsia="hr-HR"/>
        </w:rPr>
        <w:t>programa/projekta/</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financira ovaj program/projekt</w:t>
      </w:r>
      <w:r w:rsidR="00535C88">
        <w:rPr>
          <w:rFonts w:ascii="Times New Roman" w:eastAsia="Times New Roman" w:hAnsi="Times New Roman" w:cs="Times New Roman"/>
          <w:b/>
          <w:sz w:val="24"/>
          <w:szCs w:val="24"/>
          <w:lang w:eastAsia="hr-HR"/>
        </w:rPr>
        <w:t>/manifestaciju</w:t>
      </w:r>
      <w:r w:rsidRPr="00092D67">
        <w:rPr>
          <w:rFonts w:ascii="Times New Roman" w:eastAsia="Times New Roman" w:hAnsi="Times New Roman" w:cs="Times New Roman"/>
          <w:b/>
          <w:sz w:val="24"/>
          <w:szCs w:val="24"/>
          <w:lang w:eastAsia="hr-HR"/>
        </w:rPr>
        <w:t xml:space="preserve">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3E296D">
      <w:pPr>
        <w:tabs>
          <w:tab w:val="left" w:pos="6330"/>
        </w:tabs>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01.01.-31.12. 2</w:t>
      </w:r>
      <w:r w:rsidRPr="00092D67">
        <w:rPr>
          <w:rFonts w:ascii="Times New Roman" w:eastAsia="Times New Roman" w:hAnsi="Times New Roman" w:cs="Times New Roman"/>
          <w:sz w:val="24"/>
          <w:szCs w:val="24"/>
          <w:lang w:eastAsia="hr-HR"/>
        </w:rPr>
        <w:t>01</w:t>
      </w:r>
      <w:r w:rsidR="009F5AEF">
        <w:rPr>
          <w:rFonts w:ascii="Times New Roman" w:eastAsia="Times New Roman" w:hAnsi="Times New Roman" w:cs="Times New Roman"/>
          <w:sz w:val="24"/>
          <w:szCs w:val="24"/>
          <w:lang w:eastAsia="hr-HR"/>
        </w:rPr>
        <w:t>8</w:t>
      </w:r>
      <w:r w:rsidRPr="00092D67">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g</w:t>
      </w:r>
      <w:r w:rsidRPr="00092D67">
        <w:rPr>
          <w:rFonts w:ascii="Times New Roman" w:eastAsia="Times New Roman" w:hAnsi="Times New Roman" w:cs="Times New Roman"/>
          <w:sz w:val="24"/>
          <w:szCs w:val="24"/>
          <w:lang w:eastAsia="hr-HR"/>
        </w:rPr>
        <w:t>odin</w:t>
      </w:r>
      <w:r w:rsidR="00BB3606">
        <w:rPr>
          <w:rFonts w:ascii="Times New Roman" w:eastAsia="Times New Roman" w:hAnsi="Times New Roman" w:cs="Times New Roman"/>
          <w:sz w:val="24"/>
          <w:szCs w:val="24"/>
          <w:lang w:eastAsia="hr-HR"/>
        </w:rPr>
        <w:t>e</w:t>
      </w:r>
      <w:r w:rsidR="003E296D">
        <w:rPr>
          <w:rFonts w:ascii="Times New Roman" w:eastAsia="Times New Roman" w:hAnsi="Times New Roman" w:cs="Times New Roman"/>
          <w:sz w:val="24"/>
          <w:szCs w:val="24"/>
          <w:lang w:eastAsia="hr-HR"/>
        </w:rPr>
        <w:t xml:space="preserve">  (</w:t>
      </w:r>
      <w:r w:rsidR="003E296D" w:rsidRPr="007C6804">
        <w:rPr>
          <w:rFonts w:ascii="Times New Roman" w:eastAsia="Times New Roman" w:hAnsi="Times New Roman" w:cs="Times New Roman"/>
          <w:b/>
          <w:sz w:val="24"/>
          <w:szCs w:val="24"/>
          <w:lang w:eastAsia="hr-HR"/>
        </w:rPr>
        <w:t>manifestacije</w:t>
      </w:r>
      <w:r w:rsidR="003E296D">
        <w:rPr>
          <w:rFonts w:ascii="Times New Roman" w:eastAsia="Times New Roman" w:hAnsi="Times New Roman" w:cs="Times New Roman"/>
          <w:sz w:val="24"/>
          <w:szCs w:val="24"/>
          <w:lang w:eastAsia="hr-HR"/>
        </w:rPr>
        <w:t xml:space="preserve"> – svibanj 201</w:t>
      </w:r>
      <w:r w:rsidR="009F5AEF">
        <w:rPr>
          <w:rFonts w:ascii="Times New Roman" w:eastAsia="Times New Roman" w:hAnsi="Times New Roman" w:cs="Times New Roman"/>
          <w:sz w:val="24"/>
          <w:szCs w:val="24"/>
          <w:lang w:eastAsia="hr-HR"/>
        </w:rPr>
        <w:t>8</w:t>
      </w:r>
      <w:r w:rsidR="003E296D">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sukladno uvjetima natječaja i prema Opisnom obrascu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i Obrascu proračuna programa/projekta</w:t>
      </w:r>
      <w:r w:rsidR="0045351A">
        <w:rPr>
          <w:rFonts w:ascii="Times New Roman" w:eastAsia="Times New Roman" w:hAnsi="Times New Roman" w:cs="Times New Roman"/>
          <w:sz w:val="24"/>
          <w:szCs w:val="24"/>
          <w:lang w:eastAsia="hr-HR"/>
        </w:rPr>
        <w:t>/manifestacija.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45351A"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Doznaka sredstava za provedbu programa/projekta</w:t>
      </w:r>
      <w:r w:rsidR="0045351A">
        <w:rPr>
          <w:rFonts w:ascii="Times New Roman" w:eastAsia="Times New Roman" w:hAnsi="Times New Roman" w:cs="Times New Roman"/>
          <w:sz w:val="24"/>
          <w:szCs w:val="24"/>
          <w:lang w:eastAsia="hr-HR"/>
        </w:rPr>
        <w:t>/manifestacija</w:t>
      </w:r>
      <w:r w:rsidRPr="00BB3606">
        <w:rPr>
          <w:rFonts w:ascii="Times New Roman" w:eastAsia="Times New Roman" w:hAnsi="Times New Roman" w:cs="Times New Roman"/>
          <w:sz w:val="24"/>
          <w:szCs w:val="24"/>
          <w:lang w:eastAsia="hr-HR"/>
        </w:rPr>
        <w:t xml:space="preserve">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w:t>
      </w:r>
      <w:r w:rsidR="0045351A">
        <w:rPr>
          <w:rFonts w:ascii="Times New Roman" w:eastAsia="Times New Roman" w:hAnsi="Times New Roman" w:cs="Times New Roman"/>
          <w:sz w:val="24"/>
          <w:szCs w:val="24"/>
          <w:lang w:eastAsia="hr-HR"/>
        </w:rPr>
        <w:t>kvartalno tijekom godine/</w:t>
      </w:r>
      <w:r w:rsidR="00351533" w:rsidRPr="00BB3606">
        <w:rPr>
          <w:rFonts w:ascii="Times New Roman" w:eastAsia="Times New Roman" w:hAnsi="Times New Roman" w:cs="Times New Roman"/>
          <w:sz w:val="24"/>
          <w:szCs w:val="24"/>
          <w:lang w:eastAsia="hr-HR"/>
        </w:rPr>
        <w:t>najkasnije do konca 201</w:t>
      </w:r>
      <w:r w:rsidR="009F5AEF">
        <w:rPr>
          <w:rFonts w:ascii="Times New Roman" w:eastAsia="Times New Roman" w:hAnsi="Times New Roman" w:cs="Times New Roman"/>
          <w:sz w:val="24"/>
          <w:szCs w:val="24"/>
          <w:lang w:eastAsia="hr-HR"/>
        </w:rPr>
        <w:t>8</w:t>
      </w:r>
      <w:r w:rsidR="00351533" w:rsidRPr="00BB3606">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ostalu dokumentaciju: putne naloge s pripadajućim prilozima, dokumente na temelju kojih su obavljana plaćanja (ugovori, sporazumi, obračuni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2"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2"/>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4673F0" w:rsidP="00092D6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Robert </w:t>
            </w:r>
            <w:proofErr w:type="spellStart"/>
            <w:r>
              <w:rPr>
                <w:rFonts w:ascii="Times New Roman" w:eastAsia="Times New Roman" w:hAnsi="Times New Roman" w:cs="Times New Roman"/>
                <w:sz w:val="24"/>
                <w:szCs w:val="24"/>
                <w:lang w:eastAsia="hr-HR"/>
              </w:rPr>
              <w:t>Greblički</w:t>
            </w:r>
            <w:proofErr w:type="spellEnd"/>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FF6622">
            <w:pPr>
              <w:spacing w:after="0" w:line="240" w:lineRule="auto"/>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092D67" w:rsidRPr="009C5B4E" w:rsidRDefault="00092D67" w:rsidP="009C5B4E">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lastRenderedPageBreak/>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FF6622">
        <w:rPr>
          <w:rFonts w:ascii="Times New Roman" w:eastAsia="Times New Roman" w:hAnsi="Times New Roman" w:cs="Times New Roman"/>
          <w:b/>
          <w:sz w:val="24"/>
          <w:szCs w:val="24"/>
          <w:lang w:eastAsia="hr-HR"/>
        </w:rPr>
        <w:t xml:space="preserve">PROJEKATA UDRUGA </w:t>
      </w:r>
      <w:r w:rsidR="00E57EE4">
        <w:rPr>
          <w:rFonts w:ascii="Times New Roman" w:eastAsia="Times New Roman" w:hAnsi="Times New Roman" w:cs="Times New Roman"/>
          <w:b/>
          <w:sz w:val="24"/>
          <w:szCs w:val="24"/>
          <w:lang w:eastAsia="hr-HR"/>
        </w:rPr>
        <w:t>S PODRUČJA</w:t>
      </w:r>
      <w:bookmarkStart w:id="3" w:name="_GoBack"/>
      <w:bookmarkEnd w:id="3"/>
      <w:r w:rsidR="00E57EE4">
        <w:rPr>
          <w:rFonts w:ascii="Times New Roman" w:eastAsia="Times New Roman" w:hAnsi="Times New Roman" w:cs="Times New Roman"/>
          <w:b/>
          <w:sz w:val="24"/>
          <w:szCs w:val="24"/>
          <w:lang w:eastAsia="hr-HR"/>
        </w:rPr>
        <w:t xml:space="preserve"> OPĆINE VELIKO TRGOVIŠĆE </w:t>
      </w:r>
      <w:r w:rsidR="00FF6622">
        <w:rPr>
          <w:rFonts w:ascii="Times New Roman" w:eastAsia="Times New Roman" w:hAnsi="Times New Roman" w:cs="Times New Roman"/>
          <w:b/>
          <w:sz w:val="24"/>
          <w:szCs w:val="24"/>
          <w:lang w:eastAsia="hr-HR"/>
        </w:rPr>
        <w:t xml:space="preserve">KOJE PROVODE JAVNE POTREBE U DRUŠTVENIM DJELATNOSTIMA I FINANCIRANJE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w:t>
      </w:r>
      <w:r w:rsidR="00FF6622">
        <w:rPr>
          <w:rFonts w:ascii="Times New Roman" w:eastAsia="Times New Roman" w:hAnsi="Times New Roman" w:cs="Times New Roman"/>
          <w:b/>
          <w:sz w:val="24"/>
          <w:szCs w:val="24"/>
          <w:lang w:eastAsia="hr-HR"/>
        </w:rPr>
        <w:t xml:space="preserve"> 201</w:t>
      </w:r>
      <w:r w:rsidR="009F5AEF">
        <w:rPr>
          <w:rFonts w:ascii="Times New Roman" w:eastAsia="Times New Roman" w:hAnsi="Times New Roman" w:cs="Times New Roman"/>
          <w:b/>
          <w:sz w:val="24"/>
          <w:szCs w:val="24"/>
          <w:lang w:eastAsia="hr-HR"/>
        </w:rPr>
        <w:t>8</w:t>
      </w:r>
      <w:r w:rsidR="00CB20E7" w:rsidRPr="00CB20E7">
        <w:rPr>
          <w:rFonts w:ascii="Times New Roman" w:eastAsia="Times New Roman" w:hAnsi="Times New Roman" w:cs="Times New Roman"/>
          <w:b/>
          <w:sz w:val="24"/>
          <w:szCs w:val="24"/>
          <w:lang w:eastAsia="hr-HR"/>
        </w:rPr>
        <w:t>.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0A6319">
        <w:rPr>
          <w:rFonts w:ascii="Times New Roman" w:eastAsia="Times New Roman" w:hAnsi="Times New Roman" w:cs="Times New Roman"/>
          <w:sz w:val="24"/>
          <w:szCs w:val="24"/>
          <w:lang w:eastAsia="hr-HR"/>
        </w:rPr>
        <w:t>.</w:t>
      </w:r>
    </w:p>
    <w:p w:rsidR="000A6319" w:rsidRDefault="000A6319"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w:t>
      </w:r>
      <w:r w:rsidRPr="00092D67">
        <w:rPr>
          <w:rFonts w:ascii="Times New Roman" w:eastAsia="Times New Roman" w:hAnsi="Times New Roman" w:cs="Times New Roman"/>
          <w:sz w:val="24"/>
          <w:szCs w:val="24"/>
          <w:lang w:eastAsia="hr-HR"/>
        </w:rPr>
        <w:lastRenderedPageBreak/>
        <w:t>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092D67">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w:t>
      </w:r>
      <w:r w:rsidRPr="00092D67">
        <w:rPr>
          <w:rFonts w:ascii="Times New Roman" w:eastAsia="Times New Roman" w:hAnsi="Times New Roman" w:cs="Times New Roman"/>
          <w:sz w:val="24"/>
          <w:szCs w:val="24"/>
          <w:lang w:eastAsia="hr-HR"/>
        </w:rPr>
        <w:lastRenderedPageBreak/>
        <w:t>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A" w:rsidRDefault="00BB3606">
      <w:pPr>
        <w:spacing w:after="0" w:line="240" w:lineRule="auto"/>
      </w:pPr>
      <w:r>
        <w:separator/>
      </w:r>
    </w:p>
  </w:endnote>
  <w:endnote w:type="continuationSeparator" w:id="0">
    <w:p w:rsidR="003C1B6A"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E57EE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E57EE4">
      <w:rPr>
        <w:rStyle w:val="Brojstranice"/>
        <w:rFonts w:ascii="Arial" w:hAnsi="Arial" w:cs="Arial"/>
        <w:noProof/>
        <w:sz w:val="20"/>
        <w:szCs w:val="20"/>
      </w:rPr>
      <w:t>18</w:t>
    </w:r>
    <w:r w:rsidRPr="00EB3322">
      <w:rPr>
        <w:rStyle w:val="Brojstranice"/>
        <w:rFonts w:ascii="Arial" w:hAnsi="Arial" w:cs="Arial"/>
        <w:sz w:val="20"/>
        <w:szCs w:val="20"/>
      </w:rPr>
      <w:fldChar w:fldCharType="end"/>
    </w:r>
  </w:p>
  <w:p w:rsidR="00456784" w:rsidRPr="00AD7728" w:rsidRDefault="00E57EE4" w:rsidP="00EB3322">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A" w:rsidRDefault="00BB3606">
      <w:pPr>
        <w:spacing w:after="0" w:line="240" w:lineRule="auto"/>
      </w:pPr>
      <w:r>
        <w:separator/>
      </w:r>
    </w:p>
  </w:footnote>
  <w:footnote w:type="continuationSeparator" w:id="0">
    <w:p w:rsidR="003C1B6A"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E57EE4"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E57EE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2367A"/>
    <w:rsid w:val="00092D67"/>
    <w:rsid w:val="000A6319"/>
    <w:rsid w:val="001B230A"/>
    <w:rsid w:val="00330E85"/>
    <w:rsid w:val="0034581A"/>
    <w:rsid w:val="00351533"/>
    <w:rsid w:val="003C1B6A"/>
    <w:rsid w:val="003E296D"/>
    <w:rsid w:val="003E34AA"/>
    <w:rsid w:val="0045351A"/>
    <w:rsid w:val="004673F0"/>
    <w:rsid w:val="00535C88"/>
    <w:rsid w:val="006348C4"/>
    <w:rsid w:val="00656BA0"/>
    <w:rsid w:val="00731E53"/>
    <w:rsid w:val="007C6804"/>
    <w:rsid w:val="0088690B"/>
    <w:rsid w:val="0091234A"/>
    <w:rsid w:val="0097570E"/>
    <w:rsid w:val="009C5B4E"/>
    <w:rsid w:val="009F5AEF"/>
    <w:rsid w:val="00AD26B2"/>
    <w:rsid w:val="00BB3606"/>
    <w:rsid w:val="00CB20E7"/>
    <w:rsid w:val="00DB1C18"/>
    <w:rsid w:val="00E57EE4"/>
    <w:rsid w:val="00EF242C"/>
    <w:rsid w:val="00FF6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6474</Words>
  <Characters>36902</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7</cp:revision>
  <cp:lastPrinted>2017-02-02T13:11:00Z</cp:lastPrinted>
  <dcterms:created xsi:type="dcterms:W3CDTF">2018-01-24T12:31:00Z</dcterms:created>
  <dcterms:modified xsi:type="dcterms:W3CDTF">2018-02-06T08:48:00Z</dcterms:modified>
</cp:coreProperties>
</file>