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E402C">
      <w:pPr>
        <w:pStyle w:val="9"/>
        <w:rPr>
          <w:lang w:eastAsia="hr-HR"/>
        </w:rPr>
      </w:pPr>
    </w:p>
    <w:p w14:paraId="7160865D">
      <w:pPr>
        <w:spacing w:after="0" w:line="240" w:lineRule="auto"/>
        <w:ind w:firstLine="708"/>
        <w:rPr>
          <w:rFonts w:ascii="Times New Roman" w:hAnsi="Times New Roman" w:eastAsia="Calibri" w:cs="Times New Roman"/>
          <w:color w:val="000000" w:themeColor="text1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lang w:eastAsia="hr-HR"/>
          <w14:textFill>
            <w14:solidFill>
              <w14:schemeClr w14:val="tx1"/>
            </w14:solidFill>
          </w14:textFill>
        </w:rPr>
        <w:t>REPUBLIKA HRVATSKA</w:t>
      </w:r>
    </w:p>
    <w:p w14:paraId="1F0F8856">
      <w:pPr>
        <w:spacing w:after="0" w:line="240" w:lineRule="auto"/>
        <w:jc w:val="both"/>
        <w:rPr>
          <w:rFonts w:ascii="Times New Roman" w:hAnsi="Times New Roman" w:eastAsia="Calibri" w:cs="Times New Roman"/>
          <w:color w:val="000000" w:themeColor="text1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lang w:eastAsia="hr-HR"/>
          <w14:textFill>
            <w14:solidFill>
              <w14:schemeClr w14:val="tx1"/>
            </w14:solidFill>
          </w14:textFill>
        </w:rPr>
        <w:t>KRAPINSKO ZAGORSKA ŽUPANIJA</w:t>
      </w:r>
    </w:p>
    <w:p w14:paraId="31EE0A1C">
      <w:pPr>
        <w:spacing w:after="0" w:line="240" w:lineRule="auto"/>
        <w:jc w:val="both"/>
        <w:rPr>
          <w:rFonts w:ascii="Times New Roman" w:hAnsi="Times New Roman" w:eastAsia="Calibri" w:cs="Times New Roman"/>
          <w:color w:val="000000" w:themeColor="text1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lang w:eastAsia="hr-HR"/>
          <w14:textFill>
            <w14:solidFill>
              <w14:schemeClr w14:val="tx1"/>
            </w14:solidFill>
          </w14:textFill>
        </w:rPr>
        <w:t xml:space="preserve">     OPĆINA VELIKO TRGOVIŠĆE </w:t>
      </w:r>
    </w:p>
    <w:p w14:paraId="140696DC">
      <w:pPr>
        <w:spacing w:after="0" w:line="240" w:lineRule="auto"/>
        <w:jc w:val="both"/>
        <w:rPr>
          <w:rFonts w:ascii="Times New Roman" w:hAnsi="Times New Roman" w:eastAsia="Calibri" w:cs="Times New Roman"/>
          <w:color w:val="000000" w:themeColor="text1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lang w:eastAsia="hr-HR"/>
          <w14:textFill>
            <w14:solidFill>
              <w14:schemeClr w14:val="tx1"/>
            </w14:solidFill>
          </w14:textFill>
        </w:rPr>
        <w:t xml:space="preserve">           OPĆINSKI NAČELNIK</w:t>
      </w:r>
    </w:p>
    <w:p w14:paraId="5BD642B9">
      <w:pPr>
        <w:spacing w:after="0" w:line="240" w:lineRule="auto"/>
        <w:rPr>
          <w:rFonts w:ascii="Times New Roman" w:hAnsi="Times New Roman" w:eastAsia="Times New Roman" w:cs="Times New Roman"/>
          <w:color w:val="EE0000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KLASA: 400-02/2</w:t>
      </w:r>
      <w:r>
        <w:rPr>
          <w:rFonts w:hint="default" w:ascii="Times New Roman" w:hAnsi="Times New Roman" w:eastAsia="Times New Roman" w:cs="Times New Roman"/>
          <w:lang w:val="en-US" w:eastAsia="hr-HR"/>
        </w:rPr>
        <w:t>6</w:t>
      </w:r>
      <w:r>
        <w:rPr>
          <w:rFonts w:ascii="Times New Roman" w:hAnsi="Times New Roman" w:eastAsia="Times New Roman" w:cs="Times New Roman"/>
          <w:lang w:eastAsia="hr-HR"/>
        </w:rPr>
        <w:t>-01/4</w:t>
      </w:r>
      <w:r>
        <w:rPr>
          <w:rFonts w:ascii="Times New Roman" w:hAnsi="Times New Roman" w:eastAsia="Times New Roman" w:cs="Times New Roman"/>
          <w:color w:val="EE0000"/>
          <w:lang w:eastAsia="hr-HR"/>
        </w:rPr>
        <w:tab/>
      </w:r>
      <w:r>
        <w:rPr>
          <w:rFonts w:ascii="Times New Roman" w:hAnsi="Times New Roman" w:eastAsia="Times New Roman" w:cs="Times New Roman"/>
          <w:color w:val="EE0000"/>
          <w:lang w:eastAsia="hr-HR"/>
        </w:rPr>
        <w:tab/>
      </w:r>
      <w:r>
        <w:rPr>
          <w:rFonts w:ascii="Times New Roman" w:hAnsi="Times New Roman" w:eastAsia="Times New Roman"/>
          <w:b/>
          <w:color w:val="EE0000"/>
        </w:rPr>
        <w:t xml:space="preserve"> </w:t>
      </w:r>
    </w:p>
    <w:p w14:paraId="45CA9404">
      <w:pPr>
        <w:spacing w:after="0" w:line="240" w:lineRule="auto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URBROJ:2140-30-01/06-2</w:t>
      </w:r>
      <w:r>
        <w:rPr>
          <w:rFonts w:hint="default" w:ascii="Times New Roman" w:hAnsi="Times New Roman" w:eastAsia="Times New Roman" w:cs="Times New Roman"/>
          <w:lang w:val="en-US" w:eastAsia="hr-HR"/>
        </w:rPr>
        <w:t>6</w:t>
      </w:r>
      <w:bookmarkStart w:id="3" w:name="_GoBack"/>
      <w:bookmarkEnd w:id="3"/>
      <w:r>
        <w:rPr>
          <w:rFonts w:ascii="Times New Roman" w:hAnsi="Times New Roman" w:eastAsia="Times New Roman" w:cs="Times New Roman"/>
          <w:lang w:eastAsia="hr-HR"/>
        </w:rPr>
        <w:t>-01</w:t>
      </w:r>
    </w:p>
    <w:p w14:paraId="079D2B02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Veliko Trgovišće, 27.05.2026. g.                                                     </w:t>
      </w:r>
    </w:p>
    <w:p w14:paraId="74F07FB0">
      <w:pPr>
        <w:spacing w:after="0" w:line="240" w:lineRule="auto"/>
        <w:jc w:val="both"/>
        <w:rPr>
          <w:rFonts w:ascii="Times New Roman" w:hAnsi="Times New Roman" w:eastAsia="Calibri" w:cs="Times New Roman"/>
          <w:color w:val="000000" w:themeColor="text1"/>
          <w:lang w:eastAsia="hr-HR"/>
          <w14:textFill>
            <w14:solidFill>
              <w14:schemeClr w14:val="tx1"/>
            </w14:solidFill>
          </w14:textFill>
        </w:rPr>
      </w:pPr>
    </w:p>
    <w:p w14:paraId="3B7833CB">
      <w:pPr>
        <w:spacing w:after="0" w:line="240" w:lineRule="auto"/>
        <w:jc w:val="both"/>
        <w:rPr>
          <w:rFonts w:ascii="Times New Roman" w:hAnsi="Times New Roman" w:eastAsia="Calibri" w:cs="Times New Roman"/>
          <w:color w:val="000000" w:themeColor="text1"/>
          <w:lang w:eastAsia="hr-HR"/>
          <w14:textFill>
            <w14:solidFill>
              <w14:schemeClr w14:val="tx1"/>
            </w14:solidFill>
          </w14:textFill>
        </w:rPr>
      </w:pPr>
    </w:p>
    <w:p w14:paraId="495F86D0">
      <w:pPr>
        <w:spacing w:after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Na temelju članka 74. stavak 1. Zakona o komunalnom gospodarstvu </w:t>
      </w:r>
      <w:r>
        <w:rPr>
          <w:rFonts w:ascii="Times New Roman" w:hAnsi="Times New Roman" w:eastAsia="Times New Roman" w:cs="Times New Roman"/>
          <w:lang w:eastAsia="hr-HR"/>
        </w:rPr>
        <w:t xml:space="preserve">(„Narodne novine“ broj: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68/18. i 110/18.-Odluka USRH i 32/20.)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 članka 49. Statuta općine Veliko Trgovišće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hr-HR"/>
        </w:rPr>
        <w:t xml:space="preserve">Trgovišće („Službeni glasnik KZŽ“ broj: 23/09, 8/13, 06/18, 17/20,  8/21. i 30/21-proč.tekst) </w:t>
      </w:r>
      <w:r>
        <w:rPr>
          <w:rFonts w:ascii="Times New Roman" w:hAnsi="Times New Roman" w:eastAsia="Times New Roman" w:cs="Times New Roman"/>
        </w:rPr>
        <w:t>Općinski načelnik općine Veliko Trgovišće podnosi sljedeće</w:t>
      </w:r>
    </w:p>
    <w:p w14:paraId="70C3A769">
      <w:pPr>
        <w:spacing w:after="0"/>
        <w:rPr>
          <w:rFonts w:ascii="Times New Roman" w:hAnsi="Times New Roman" w:eastAsia="Times New Roman" w:cs="Times New Roman"/>
        </w:rPr>
      </w:pPr>
    </w:p>
    <w:p w14:paraId="1CFA5CC9">
      <w:pPr>
        <w:spacing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I Z V J E Š Ć E</w:t>
      </w:r>
    </w:p>
    <w:p w14:paraId="4BC64563">
      <w:pPr>
        <w:spacing w:after="0"/>
        <w:jc w:val="center"/>
        <w:rPr>
          <w:rFonts w:ascii="Times New Roman" w:hAnsi="Times New Roman" w:eastAsia="Times New Roman" w:cs="Times New Roman"/>
          <w:b/>
        </w:rPr>
      </w:pPr>
    </w:p>
    <w:p w14:paraId="1060D3EA">
      <w:pPr>
        <w:spacing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I</w:t>
      </w:r>
    </w:p>
    <w:p w14:paraId="6DAE6F87">
      <w:pPr>
        <w:spacing w:after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>Sukladno iskazanom po Godišnjem izvještaju o izvršenju  Proračuna za 2025. godinu ovime se podnosi izvješće o izvršenju u 2025. godini sljedećih programa:</w:t>
      </w:r>
    </w:p>
    <w:p w14:paraId="57F97EBC">
      <w:pPr>
        <w:spacing w:after="0"/>
        <w:jc w:val="both"/>
        <w:rPr>
          <w:rFonts w:ascii="Times New Roman" w:hAnsi="Times New Roman" w:eastAsia="Times New Roman" w:cs="Times New Roman"/>
        </w:rPr>
      </w:pPr>
    </w:p>
    <w:p w14:paraId="197FD355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Programa građenja komunalne infrastrukture na području općine Veliko Trgovišće,</w:t>
      </w:r>
    </w:p>
    <w:p w14:paraId="57DB1FF8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Programa održavanja komunalne infrastrukture na području općine Veliko Trgovišće,</w:t>
      </w:r>
    </w:p>
    <w:p w14:paraId="0C6660DD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Programa raspodjele sredstava za javne potrebe  u društvenim djelatnostima,  </w:t>
      </w:r>
    </w:p>
    <w:p w14:paraId="4E9EA3C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Programa utroška sredstava od prodaje stanova na kojima postoji stanarsko pravo.</w:t>
      </w:r>
    </w:p>
    <w:p w14:paraId="36FCCFB2">
      <w:pPr>
        <w:spacing w:after="0"/>
        <w:jc w:val="both"/>
        <w:rPr>
          <w:rFonts w:ascii="Times New Roman" w:hAnsi="Times New Roman" w:eastAsia="Times New Roman" w:cs="Times New Roman"/>
        </w:rPr>
      </w:pPr>
    </w:p>
    <w:p w14:paraId="1BB8BC6E">
      <w:pPr>
        <w:spacing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II</w:t>
      </w:r>
    </w:p>
    <w:p w14:paraId="1921767E">
      <w:pPr>
        <w:spacing w:after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>Programom građenja  komunalne infrastrukture  na području općine Veliko  Trgovišće bile su planirane i ostvarene aktivnosti kako slijedi:</w:t>
      </w:r>
    </w:p>
    <w:p w14:paraId="33CB91E5">
      <w:pPr>
        <w:spacing w:after="0"/>
        <w:jc w:val="both"/>
        <w:rPr>
          <w:rFonts w:ascii="Times New Roman" w:hAnsi="Times New Roman" w:eastAsia="Times New Roman" w:cs="Times New Roman"/>
        </w:rPr>
      </w:pPr>
    </w:p>
    <w:tbl>
      <w:tblPr>
        <w:tblStyle w:val="8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5"/>
        <w:gridCol w:w="1559"/>
        <w:gridCol w:w="2126"/>
        <w:gridCol w:w="1134"/>
      </w:tblGrid>
      <w:tr w14:paraId="7A398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3A8DB08">
            <w:pPr>
              <w:spacing w:after="200" w:line="276" w:lineRule="auto"/>
              <w:ind w:left="357"/>
              <w:contextualSpacing/>
              <w:rPr>
                <w:rFonts w:ascii="Times New Roman" w:hAnsi="Times New Roman" w:eastAsia="Times New Roman" w:cs="Times New Roman"/>
                <w:b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>NAZIV PROGRAMA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6D8E0E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>PLANIRANO</w:t>
            </w:r>
          </w:p>
          <w:p w14:paraId="1FE77768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>(EUR)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12" w:space="0"/>
            </w:tcBorders>
          </w:tcPr>
          <w:p w14:paraId="63E76529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>OSTVARENO</w:t>
            </w:r>
          </w:p>
          <w:p w14:paraId="0DDC9EC9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>(EUR)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C43BDD">
            <w:pPr>
              <w:spacing w:before="140" w:after="200" w:line="276" w:lineRule="auto"/>
              <w:jc w:val="center"/>
              <w:rPr>
                <w:rFonts w:ascii="Times New Roman" w:hAnsi="Times New Roman" w:eastAsia="Times New Roman" w:cs="Times New Roman"/>
                <w:b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lang w:eastAsia="hr-HR"/>
              </w:rPr>
              <w:t>INDEKS</w:t>
            </w:r>
          </w:p>
        </w:tc>
      </w:tr>
      <w:tr w14:paraId="0F1D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A1D27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Građevine komunalne infrastrukture koje će se graditi radi uređenja neuređenih dijelova građevinskog područja</w:t>
            </w:r>
          </w:p>
        </w:tc>
      </w:tr>
      <w:tr w14:paraId="34941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12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069ABAD1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1.1.  RAZVOJ GOSPODARSKE ZONE</w:t>
            </w:r>
          </w:p>
        </w:tc>
        <w:tc>
          <w:tcPr>
            <w:tcW w:w="1559" w:type="dxa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 w14:paraId="78FD9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560.000,00 EUR </w:t>
            </w:r>
          </w:p>
        </w:tc>
        <w:tc>
          <w:tcPr>
            <w:tcW w:w="2126" w:type="dxa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 w14:paraId="33E27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575.816,75 EUR</w:t>
            </w:r>
          </w:p>
        </w:tc>
        <w:tc>
          <w:tcPr>
            <w:tcW w:w="1134" w:type="dxa"/>
            <w:tcBorders>
              <w:top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12572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102,82</w:t>
            </w:r>
          </w:p>
        </w:tc>
      </w:tr>
      <w:tr w14:paraId="12821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12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131B57E1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1.1.1. Izgradnja gospodarske zone</w:t>
            </w:r>
          </w:p>
        </w:tc>
        <w:tc>
          <w:tcPr>
            <w:tcW w:w="1559" w:type="dxa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 w14:paraId="1B071D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560.000,00  EUR</w:t>
            </w:r>
          </w:p>
        </w:tc>
        <w:tc>
          <w:tcPr>
            <w:tcW w:w="2126" w:type="dxa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 w14:paraId="7B0715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575.816,75 EUR</w:t>
            </w:r>
          </w:p>
        </w:tc>
        <w:tc>
          <w:tcPr>
            <w:tcW w:w="1134" w:type="dxa"/>
            <w:tcBorders>
              <w:top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59C91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102,82</w:t>
            </w:r>
          </w:p>
        </w:tc>
      </w:tr>
      <w:tr w14:paraId="07AD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78989B12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Izvor financiranja: </w:t>
            </w:r>
          </w:p>
          <w:p w14:paraId="118208A3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- komunalna naknada:  228.200,00 EUR</w:t>
            </w:r>
          </w:p>
          <w:p w14:paraId="44921BDF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- komunalni doprinos: 46.129,71 EUR</w:t>
            </w:r>
          </w:p>
          <w:p w14:paraId="328086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- opći prihodi i primici:  301.487,04 EUR</w:t>
            </w:r>
          </w:p>
        </w:tc>
      </w:tr>
      <w:tr w14:paraId="28F8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13C87E1D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1.1.1.1 Otkup zemljišta u gosp. zoni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0D9AD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09185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068EA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3086B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47847370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1.1.1.2. Projektna dokumentacija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3F4D6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 10.000,00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17B0D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9.625,00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75AAB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96,25</w:t>
            </w:r>
          </w:p>
        </w:tc>
      </w:tr>
      <w:tr w14:paraId="53910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55092491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financiranja: </w:t>
            </w:r>
          </w:p>
          <w:p w14:paraId="50C5E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komunalna naknada: 9.625,00 EUR</w:t>
            </w:r>
          </w:p>
        </w:tc>
      </w:tr>
      <w:tr w14:paraId="2C7AD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619C3652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1.1.1.3. Izgradnja oborinske odvodnje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40DCE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752FF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4B94F4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4A864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ashSmallGap" w:color="auto" w:sz="4" w:space="0"/>
            </w:tcBorders>
            <w:vAlign w:val="center"/>
          </w:tcPr>
          <w:p w14:paraId="7FFBADFB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1.1.1.4. Asfaltiranje ceste u gosp.zoni</w:t>
            </w:r>
          </w:p>
        </w:tc>
        <w:tc>
          <w:tcPr>
            <w:tcW w:w="1559" w:type="dxa"/>
            <w:tcBorders>
              <w:bottom w:val="dashSmallGap" w:color="auto" w:sz="4" w:space="0"/>
            </w:tcBorders>
            <w:vAlign w:val="center"/>
          </w:tcPr>
          <w:p w14:paraId="754E74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500.000,00</w:t>
            </w:r>
          </w:p>
        </w:tc>
        <w:tc>
          <w:tcPr>
            <w:tcW w:w="2126" w:type="dxa"/>
            <w:tcBorders>
              <w:bottom w:val="dashSmallGap" w:color="auto" w:sz="4" w:space="0"/>
            </w:tcBorders>
            <w:vAlign w:val="center"/>
          </w:tcPr>
          <w:p w14:paraId="5DE148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548.379,25</w:t>
            </w:r>
          </w:p>
        </w:tc>
        <w:tc>
          <w:tcPr>
            <w:tcW w:w="1134" w:type="dxa"/>
            <w:tcBorders>
              <w:bottom w:val="dashSmallGap" w:color="auto" w:sz="4" w:space="0"/>
              <w:right w:val="single" w:color="auto" w:sz="12" w:space="0"/>
            </w:tcBorders>
            <w:vAlign w:val="center"/>
          </w:tcPr>
          <w:p w14:paraId="26A95D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109,68</w:t>
            </w:r>
          </w:p>
        </w:tc>
      </w:tr>
      <w:tr w14:paraId="02987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ashSmallGap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3E50FEF6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financiranja: </w:t>
            </w:r>
          </w:p>
          <w:p w14:paraId="4451E6E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- komunalna naknada: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218.575,00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EUR</w:t>
            </w:r>
          </w:p>
          <w:p w14:paraId="151312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komunalni doprinos: 46.129,71 EUR</w:t>
            </w:r>
          </w:p>
          <w:p w14:paraId="5971E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opći prihodi i primici:  283.674,54 EUR</w:t>
            </w:r>
          </w:p>
        </w:tc>
      </w:tr>
      <w:tr w14:paraId="3BDA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1CA50280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1.1.1.5. Izgradnja javne rasvjete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015DA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50.000,00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015A9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0C8A9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08D9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1A5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Razlog izmjene: Radovi prebačeni na 2026. godinu</w:t>
            </w:r>
          </w:p>
        </w:tc>
      </w:tr>
      <w:tr w14:paraId="5EE64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78CD478E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1.1.1.6. Usluge</w:t>
            </w:r>
          </w:p>
        </w:tc>
        <w:tc>
          <w:tcPr>
            <w:tcW w:w="1559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763F01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6A313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7E3C0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22629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ashSmallGap" w:color="auto" w:sz="4" w:space="0"/>
            </w:tcBorders>
            <w:vAlign w:val="center"/>
          </w:tcPr>
          <w:p w14:paraId="6691063D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1.1.1.7.Izrada izmjene i dopune Urbanističkog plana uređenja gospodarske zone</w:t>
            </w:r>
          </w:p>
        </w:tc>
        <w:tc>
          <w:tcPr>
            <w:tcW w:w="1559" w:type="dxa"/>
            <w:tcBorders>
              <w:top w:val="single" w:color="auto" w:sz="4" w:space="0"/>
              <w:bottom w:val="dashSmallGap" w:color="auto" w:sz="4" w:space="0"/>
            </w:tcBorders>
            <w:vAlign w:val="center"/>
          </w:tcPr>
          <w:p w14:paraId="64A94E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single" w:color="auto" w:sz="4" w:space="0"/>
              <w:bottom w:val="dashSmallGap" w:color="auto" w:sz="4" w:space="0"/>
            </w:tcBorders>
            <w:vAlign w:val="center"/>
          </w:tcPr>
          <w:p w14:paraId="4E2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17.812,50</w:t>
            </w:r>
          </w:p>
        </w:tc>
        <w:tc>
          <w:tcPr>
            <w:tcW w:w="1134" w:type="dxa"/>
            <w:tcBorders>
              <w:top w:val="single" w:color="auto" w:sz="4" w:space="0"/>
              <w:bottom w:val="dashSmallGap" w:color="auto" w:sz="4" w:space="0"/>
              <w:right w:val="single" w:color="auto" w:sz="12" w:space="0"/>
            </w:tcBorders>
            <w:vAlign w:val="center"/>
          </w:tcPr>
          <w:p w14:paraId="621D8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69CC8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single" w:color="auto" w:sz="4" w:space="0"/>
              <w:left w:val="single" w:color="auto" w:sz="12" w:space="0"/>
              <w:bottom w:val="dashSmallGap" w:color="auto" w:sz="4" w:space="0"/>
              <w:right w:val="single" w:color="auto" w:sz="12" w:space="0"/>
            </w:tcBorders>
            <w:vAlign w:val="center"/>
          </w:tcPr>
          <w:p w14:paraId="345A92A0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financiranja: </w:t>
            </w:r>
          </w:p>
          <w:p w14:paraId="041D0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- opći prihodi i primici: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17.812,50 EUR</w:t>
            </w:r>
          </w:p>
        </w:tc>
      </w:tr>
      <w:tr w14:paraId="03874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ashSmallGap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75B6D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Razlog izmjene:  Ranije izdavanje privremene situacije od predviđenog</w:t>
            </w:r>
          </w:p>
        </w:tc>
      </w:tr>
      <w:tr w14:paraId="574F8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4A634BBE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1.1.2. Povezivanje gospodarskih zona Zabok- Veliko Trgovišće</w:t>
            </w:r>
          </w:p>
        </w:tc>
        <w:tc>
          <w:tcPr>
            <w:tcW w:w="1559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5E5D86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44EE5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 EUR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05B04B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 EUR</w:t>
            </w:r>
          </w:p>
        </w:tc>
      </w:tr>
      <w:tr w14:paraId="017C3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dotted" w:color="auto" w:sz="4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39045B65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Izvor financiranja: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- </w:t>
            </w:r>
          </w:p>
        </w:tc>
        <w:tc>
          <w:tcPr>
            <w:tcW w:w="1559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773303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7B120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tted" w:color="auto" w:sz="4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7CA28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F8B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2A04674E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1.1.2.1. Usluge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FBD4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030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AA7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17641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74DFE552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1.1.2.2. Građevinski objekti </w:t>
            </w:r>
          </w:p>
        </w:tc>
        <w:tc>
          <w:tcPr>
            <w:tcW w:w="1559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4C6D7B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1F28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690C4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0EAF7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231A29">
            <w:pPr>
              <w:pStyle w:val="7"/>
              <w:numPr>
                <w:ilvl w:val="0"/>
                <w:numId w:val="2"/>
              </w:numPr>
              <w:spacing w:before="240"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Građevine komunalne infrastrukture koje će se graditi u uređenim dijelovima građevinskog područja</w:t>
            </w:r>
          </w:p>
        </w:tc>
      </w:tr>
      <w:tr w14:paraId="514D6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57ABA0FD">
            <w:pPr>
              <w:spacing w:before="120" w:after="200" w:line="276" w:lineRule="auto"/>
              <w:contextualSpacing/>
              <w:rPr>
                <w:rFonts w:ascii="Times New Roman" w:hAnsi="Times New Roman" w:eastAsia="Times New Roman" w:cs="Times New Roman"/>
                <w:color w:val="EE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2.1. IZGRADNJA JAVNIH POVRŠINA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6E4BE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386.000,00 EUR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70B4EB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376.028,00 EUR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67AF7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97,42</w:t>
            </w:r>
          </w:p>
        </w:tc>
      </w:tr>
      <w:tr w14:paraId="4E66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663C7441">
            <w:pPr>
              <w:spacing w:before="120" w:after="20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2.1.1. Izgradnja nogostupa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3844CE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370.000,00 EUR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42A9A2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368.278,00 EUR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00C631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99,53</w:t>
            </w:r>
          </w:p>
        </w:tc>
      </w:tr>
      <w:tr w14:paraId="5C8C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5D19ECC2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Izvor financiranja: </w:t>
            </w:r>
          </w:p>
          <w:p w14:paraId="469CC829"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- opći prihodi i primici: 313.278,00 EUR</w:t>
            </w:r>
          </w:p>
          <w:p w14:paraId="5346C1F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EE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- Županijska uprava za ceste KZŽ: 55.000,00 EUR</w:t>
            </w:r>
          </w:p>
        </w:tc>
      </w:tr>
      <w:tr w14:paraId="6273C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40102E05">
            <w:pPr>
              <w:spacing w:before="120" w:after="200" w:line="276" w:lineRule="auto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2.1.1.1. Izgradnja nogostupa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47C254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370.000,00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052BC9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368.278,00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7BE02E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99,53</w:t>
            </w:r>
          </w:p>
        </w:tc>
      </w:tr>
      <w:tr w14:paraId="12DE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</w:tcPr>
          <w:p w14:paraId="6F0940BF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financiranja: </w:t>
            </w:r>
          </w:p>
          <w:p w14:paraId="5105DB2B"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opći prihodi i primici: 313.278,00 EUR</w:t>
            </w:r>
          </w:p>
          <w:p w14:paraId="61764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Županijska uprava za ceste KZŽ: 55.000,00 EUR</w:t>
            </w:r>
          </w:p>
        </w:tc>
      </w:tr>
      <w:tr w14:paraId="115A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0E98EF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2.1.1.2. Projektna dokumentacija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1C1C6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092F0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6B9D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04EA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</w:tcPr>
          <w:p w14:paraId="6261E316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2.1.2. Uređenje Trga Stjepana i Franje Tuđmana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6051AA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37FA12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0F9291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</w:tr>
      <w:tr w14:paraId="5976D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</w:tcPr>
          <w:p w14:paraId="1BE84323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Izvor financiranja: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38644E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7B2A85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293E63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5FEB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</w:tcPr>
          <w:p w14:paraId="261A8907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2.1.2.1.Nematerijalna imovina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630792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 xml:space="preserve">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3494EA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500160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68A81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50A5A499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2.1.3.  Uređenje dječjih igrališta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7DA865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                         8.000,00 EUR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403DBF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1BD8D6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</w:tr>
      <w:tr w14:paraId="3B618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ashSmallGap" w:color="auto" w:sz="4" w:space="0"/>
              <w:right w:val="single" w:color="auto" w:sz="4" w:space="0"/>
            </w:tcBorders>
            <w:vAlign w:val="center"/>
          </w:tcPr>
          <w:p w14:paraId="3350D648"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2.1.3.1 Otkup zemljišta za dječje igralište Dubrovčan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  <w:vAlign w:val="center"/>
          </w:tcPr>
          <w:p w14:paraId="3F3948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hr-HR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bCs/>
                <w:lang w:val="en-US" w:eastAsia="hr-HR"/>
              </w:rPr>
              <w:t>8.000</w:t>
            </w:r>
            <w:r>
              <w:rPr>
                <w:rFonts w:ascii="Times New Roman" w:hAnsi="Times New Roman" w:eastAsia="Times New Roman" w:cs="Times New Roman"/>
                <w:bCs/>
                <w:lang w:eastAsia="hr-HR"/>
              </w:rPr>
              <w:t xml:space="preserve">,00  </w:t>
            </w:r>
          </w:p>
        </w:tc>
        <w:tc>
          <w:tcPr>
            <w:tcW w:w="2126" w:type="dxa"/>
            <w:tcBorders>
              <w:bottom w:val="dashSmallGap" w:color="auto" w:sz="4" w:space="0"/>
            </w:tcBorders>
            <w:vAlign w:val="center"/>
          </w:tcPr>
          <w:p w14:paraId="139D11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bottom w:val="dashSmallGap" w:color="auto" w:sz="4" w:space="0"/>
              <w:right w:val="single" w:color="auto" w:sz="12" w:space="0"/>
            </w:tcBorders>
            <w:vAlign w:val="center"/>
          </w:tcPr>
          <w:p w14:paraId="0BB1B4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6BE16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ashSmallGap" w:color="auto" w:sz="4" w:space="0"/>
              <w:left w:val="single" w:color="auto" w:sz="12" w:space="0"/>
              <w:bottom w:val="dashSmallGap" w:color="auto" w:sz="4" w:space="0"/>
              <w:right w:val="single" w:color="auto" w:sz="12" w:space="0"/>
            </w:tcBorders>
            <w:vAlign w:val="center"/>
          </w:tcPr>
          <w:p w14:paraId="79A28BF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Izvor financiranja:- </w:t>
            </w:r>
          </w:p>
        </w:tc>
      </w:tr>
      <w:tr w14:paraId="381DB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37EDC7F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Razlog izmjene: Otkup zemljišta se prebacuje na 2026. godinu.</w:t>
            </w:r>
          </w:p>
        </w:tc>
      </w:tr>
      <w:tr w14:paraId="09DA4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309E9838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2.1.4. Teniski i padel tereni u Velikom Trgovišću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4F4279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lang w:val="en-US" w:eastAsia="hr-HR"/>
              </w:rPr>
              <w:t>8.000,00 EUR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4446B4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7.750,00 EUR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6788E5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 xml:space="preserve">96,88 </w:t>
            </w:r>
          </w:p>
        </w:tc>
      </w:tr>
      <w:tr w14:paraId="7799C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ashSmallGap" w:color="auto" w:sz="4" w:space="0"/>
              <w:right w:val="single" w:color="auto" w:sz="4" w:space="0"/>
            </w:tcBorders>
            <w:vAlign w:val="center"/>
          </w:tcPr>
          <w:p w14:paraId="3DC81510"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2.1.4.1. projektna dokumentacija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  <w:vAlign w:val="center"/>
          </w:tcPr>
          <w:p w14:paraId="3FDCEE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val="en-US" w:eastAsia="hr-HR"/>
              </w:rPr>
              <w:t xml:space="preserve">8.000,00 </w:t>
            </w:r>
          </w:p>
        </w:tc>
        <w:tc>
          <w:tcPr>
            <w:tcW w:w="2126" w:type="dxa"/>
            <w:tcBorders>
              <w:bottom w:val="dashSmallGap" w:color="auto" w:sz="4" w:space="0"/>
            </w:tcBorders>
            <w:vAlign w:val="center"/>
          </w:tcPr>
          <w:p w14:paraId="19AB80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7.750,00 </w:t>
            </w:r>
          </w:p>
        </w:tc>
        <w:tc>
          <w:tcPr>
            <w:tcW w:w="1134" w:type="dxa"/>
            <w:tcBorders>
              <w:bottom w:val="dashSmallGap" w:color="auto" w:sz="4" w:space="0"/>
              <w:right w:val="single" w:color="auto" w:sz="12" w:space="0"/>
            </w:tcBorders>
            <w:vAlign w:val="center"/>
          </w:tcPr>
          <w:p w14:paraId="637E19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96,88</w:t>
            </w:r>
          </w:p>
        </w:tc>
      </w:tr>
      <w:tr w14:paraId="2F54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ashSmallGap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76E2046A"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Izvor financiranja:</w:t>
            </w:r>
          </w:p>
          <w:p w14:paraId="4510C4A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opći prihodi i primici: 7.750,00 EUR</w:t>
            </w:r>
          </w:p>
        </w:tc>
      </w:tr>
      <w:tr w14:paraId="7E3E9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08A2D744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2.2. SANACIJA KLIZIŠTA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6A290B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297.500,00 EUR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43A124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295.082,20 EUR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180476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99,19</w:t>
            </w:r>
          </w:p>
        </w:tc>
      </w:tr>
      <w:tr w14:paraId="3D13A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F34344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Izvor financiranja: </w:t>
            </w:r>
          </w:p>
          <w:p w14:paraId="78688DD2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- kapitalna pomoć: 176.732,71 EUR</w:t>
            </w:r>
          </w:p>
          <w:p w14:paraId="5E15B6E2"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- opći prihodi i primici: 112.349,49 EUR</w:t>
            </w:r>
          </w:p>
          <w:p w14:paraId="25D37A9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- komunalna naknada: 6.000,00 EUR</w:t>
            </w:r>
          </w:p>
        </w:tc>
      </w:tr>
      <w:tr w14:paraId="53532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425AB6EA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2.2.2. Sanacija klizišta uz NC (Mrzlo Polje - Škalec)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2D2810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297.500,00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7518F0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295.082,20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58DA8C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99,19</w:t>
            </w:r>
          </w:p>
        </w:tc>
      </w:tr>
      <w:tr w14:paraId="648C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425F97A9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2.2.2.1. Radovi na sanaciji klizišta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684A0E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275.000,00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7C1C2C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272.582,20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5FE80E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99,12</w:t>
            </w:r>
          </w:p>
        </w:tc>
      </w:tr>
      <w:tr w14:paraId="33C12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4EB4CF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Izvor financiranja: </w:t>
            </w:r>
          </w:p>
          <w:p w14:paraId="14B03494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- kapitalna pomoć: 164.357,71 EUR</w:t>
            </w:r>
          </w:p>
          <w:p w14:paraId="33E63B85"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- opći prihodi i primici: 102.224,49 EUR</w:t>
            </w:r>
          </w:p>
          <w:p w14:paraId="0443AFF0"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- komunalna naknada :  6.000,00 EUR</w:t>
            </w:r>
          </w:p>
        </w:tc>
      </w:tr>
      <w:tr w14:paraId="7048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65722353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2.2.2.2. Projektna dokumentacija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66C21C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3FDD11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1EFD23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72D9D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45E11C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Izvor financiranja: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88C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2A371CB4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2.2.2.3. Stručni nadzor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1F54E4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22.500,00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16C57A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22.500,00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30FF98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100,00</w:t>
            </w:r>
          </w:p>
        </w:tc>
      </w:tr>
      <w:tr w14:paraId="77BBC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9C578B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Izvor financiranja: </w:t>
            </w:r>
          </w:p>
          <w:p w14:paraId="40D7358E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- kapitalna pomoć: 12.375,00 EUR</w:t>
            </w:r>
          </w:p>
          <w:p w14:paraId="292126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- opći prihodi i primici: 10.125,00 EUR</w:t>
            </w:r>
          </w:p>
        </w:tc>
      </w:tr>
      <w:tr w14:paraId="7BD22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1DB39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2.3. IZGRADNJA JAVNE RASVJETE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421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6DD6C4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0,00  </w:t>
            </w:r>
          </w:p>
        </w:tc>
        <w:tc>
          <w:tcPr>
            <w:tcW w:w="1134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634F7F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67A93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F46FC0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Izvor financiranja: -</w:t>
            </w:r>
          </w:p>
          <w:p w14:paraId="7D4F56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43562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4780924F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2.3.1. Izgradnja javne rasvjete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2A79B6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1A5519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4DAEBB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77E30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10E0C5E9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2.3.2. Tehnička dokumentacija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1A152D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398CAC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64B467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hr-HR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37398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81563">
            <w:pPr>
              <w:pStyle w:val="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Građevine komunalne infrastrukture koje će se graditi izvan građevinskog područja</w:t>
            </w:r>
          </w:p>
        </w:tc>
      </w:tr>
      <w:tr w14:paraId="6557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72B59703">
            <w:pPr>
              <w:numPr>
                <w:ilvl w:val="0"/>
                <w:numId w:val="3"/>
              </w:numPr>
              <w:spacing w:before="120" w:after="0" w:line="240" w:lineRule="auto"/>
              <w:ind w:left="0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3.1.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UREĐENJE  IGRALIŠTA 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B6F50FD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136.000,00 EUR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882E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124.827,51 EUR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E528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91,78 </w:t>
            </w:r>
          </w:p>
        </w:tc>
      </w:tr>
      <w:tr w14:paraId="28B53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CFA8A7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Izvor financiranja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:</w:t>
            </w:r>
          </w:p>
          <w:p w14:paraId="1B85E5E3">
            <w:pPr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-opći prihodi i primici: 80.557,03 EUR</w:t>
            </w:r>
          </w:p>
          <w:p w14:paraId="709BEB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-kapitalna pomoć: 44.270,48 EUR</w:t>
            </w:r>
          </w:p>
        </w:tc>
      </w:tr>
      <w:tr w14:paraId="6666E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3E4D4750">
            <w:pPr>
              <w:numPr>
                <w:ilvl w:val="0"/>
                <w:numId w:val="3"/>
              </w:numPr>
              <w:spacing w:before="120" w:after="0" w:line="240" w:lineRule="auto"/>
              <w:ind w:left="0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3.1.1. Uređenje  športskog igrališta  u Družilovcu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B59E15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hr-HR"/>
              </w:rPr>
              <w:t>130.000,00  EUR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7E53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119.202,51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4A1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91,69</w:t>
            </w:r>
          </w:p>
        </w:tc>
      </w:tr>
      <w:tr w14:paraId="6DB55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31EF6E91">
            <w:pPr>
              <w:numPr>
                <w:ilvl w:val="0"/>
                <w:numId w:val="3"/>
              </w:numPr>
              <w:spacing w:before="120" w:after="0" w:line="240" w:lineRule="auto"/>
              <w:ind w:left="0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3.1.2. Projektna dokumentacija za dječje igra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li</w:t>
            </w:r>
            <w:r>
              <w:rPr>
                <w:rFonts w:ascii="Times New Roman" w:hAnsi="Times New Roman" w:eastAsia="Times New Roman" w:cs="Times New Roman"/>
                <w:lang w:eastAsia="hr-HR"/>
              </w:rPr>
              <w:t>šte  u Družilovcu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97176BC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hr-HR"/>
              </w:rPr>
              <w:t>6.000,00 EUR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4D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5.625,00 EUR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1C8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93,75</w:t>
            </w:r>
          </w:p>
        </w:tc>
      </w:tr>
      <w:tr w14:paraId="3BDE8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</w:tcPr>
          <w:p w14:paraId="35146195">
            <w:pPr>
              <w:numPr>
                <w:ilvl w:val="0"/>
                <w:numId w:val="3"/>
              </w:numPr>
              <w:spacing w:before="120" w:after="200" w:line="276" w:lineRule="auto"/>
              <w:ind w:left="0"/>
              <w:contextualSpacing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3.2. IZGRADNJA GROBLJA I INFRASTRUKTURNIH OBJEKATA NA GROBLJIMA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4" w:space="0"/>
            </w:tcBorders>
          </w:tcPr>
          <w:p w14:paraId="750D218A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</w:p>
          <w:p w14:paraId="69F07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206.500,00 EUR 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852B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204.205,23 EUR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748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98,89</w:t>
            </w:r>
          </w:p>
        </w:tc>
      </w:tr>
      <w:tr w14:paraId="3D5A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3415F9BF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Izvor financiranja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: </w:t>
            </w:r>
          </w:p>
          <w:p w14:paraId="3C08EC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 opći prihodi i primici :  204.205,23 EUR</w:t>
            </w:r>
          </w:p>
        </w:tc>
      </w:tr>
      <w:tr w14:paraId="12D3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62B47FDA">
            <w:pPr>
              <w:spacing w:before="120" w:after="200" w:line="276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3.2.1. Izgradnja groblja Veliko Trgovišće 2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4199A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 xml:space="preserve">0,00 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3FAD8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7F6CF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</w:tr>
      <w:tr w14:paraId="4DBC3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10CFEE2C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3.2.1.1. Izgradnja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13F0D2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18D85F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3FD0F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2750B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2434A0FA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Izvor financiranja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: -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12104C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1660D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1B870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14:paraId="4772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3E273765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hr-HR"/>
              </w:rPr>
              <w:t>3.2.2. Izgradnja parkirališta kraj groblja u Velikom Trgovišću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0184E3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205.000,00 EUR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622AA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202.878,00</w:t>
            </w:r>
          </w:p>
        </w:tc>
        <w:tc>
          <w:tcPr>
            <w:tcW w:w="1134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1AA85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98,96</w:t>
            </w:r>
          </w:p>
        </w:tc>
      </w:tr>
      <w:tr w14:paraId="6FF76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ashSmallGap" w:color="auto" w:sz="4" w:space="0"/>
            </w:tcBorders>
            <w:vAlign w:val="center"/>
          </w:tcPr>
          <w:p w14:paraId="0834E469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3.2.2.1. Otkup zemljišta</w:t>
            </w:r>
          </w:p>
        </w:tc>
        <w:tc>
          <w:tcPr>
            <w:tcW w:w="1559" w:type="dxa"/>
            <w:tcBorders>
              <w:bottom w:val="dashSmallGap" w:color="auto" w:sz="4" w:space="0"/>
            </w:tcBorders>
            <w:vAlign w:val="center"/>
          </w:tcPr>
          <w:p w14:paraId="702B51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205.000,00 EUR</w:t>
            </w:r>
          </w:p>
        </w:tc>
        <w:tc>
          <w:tcPr>
            <w:tcW w:w="2126" w:type="dxa"/>
            <w:tcBorders>
              <w:bottom w:val="dashSmallGap" w:color="auto" w:sz="4" w:space="0"/>
            </w:tcBorders>
            <w:vAlign w:val="center"/>
          </w:tcPr>
          <w:p w14:paraId="48EA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202.878,00</w:t>
            </w:r>
          </w:p>
        </w:tc>
        <w:tc>
          <w:tcPr>
            <w:tcW w:w="1134" w:type="dxa"/>
            <w:tcBorders>
              <w:bottom w:val="dashSmallGap" w:color="auto" w:sz="4" w:space="0"/>
              <w:right w:val="single" w:color="auto" w:sz="12" w:space="0"/>
            </w:tcBorders>
            <w:vAlign w:val="center"/>
          </w:tcPr>
          <w:p w14:paraId="630FC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98,96</w:t>
            </w:r>
          </w:p>
        </w:tc>
      </w:tr>
      <w:tr w14:paraId="5CD8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dashSmallGap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674A8231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financiranja: </w:t>
            </w:r>
          </w:p>
          <w:p w14:paraId="1EB6503C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opći prihodi i primici :  202.878,00 EUR</w:t>
            </w:r>
          </w:p>
        </w:tc>
        <w:tc>
          <w:tcPr>
            <w:tcW w:w="1559" w:type="dxa"/>
            <w:tcBorders>
              <w:top w:val="dashSmallGap" w:color="auto" w:sz="4" w:space="0"/>
              <w:bottom w:val="single" w:color="auto" w:sz="4" w:space="0"/>
            </w:tcBorders>
            <w:vAlign w:val="center"/>
          </w:tcPr>
          <w:p w14:paraId="5330DF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tcBorders>
              <w:top w:val="dashSmallGap" w:color="auto" w:sz="4" w:space="0"/>
              <w:bottom w:val="single" w:color="auto" w:sz="4" w:space="0"/>
            </w:tcBorders>
            <w:vAlign w:val="center"/>
          </w:tcPr>
          <w:p w14:paraId="15027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dashSmallGap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B2EA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14:paraId="60878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</w:tcBorders>
          </w:tcPr>
          <w:p w14:paraId="65599AFC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3.2.2. Evidentiranje komunalne infrastrukture- groblja i mrtvačnice</w:t>
            </w:r>
          </w:p>
        </w:tc>
        <w:tc>
          <w:tcPr>
            <w:tcW w:w="1559" w:type="dxa"/>
            <w:tcBorders>
              <w:top w:val="single" w:color="auto" w:sz="4" w:space="0"/>
              <w:bottom w:val="dotted" w:color="auto" w:sz="4" w:space="0"/>
            </w:tcBorders>
          </w:tcPr>
          <w:p w14:paraId="3C42AF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  <w:p w14:paraId="399B9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1.500,00 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21A48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1.327,23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3FB36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88,48</w:t>
            </w:r>
          </w:p>
        </w:tc>
      </w:tr>
      <w:tr w14:paraId="0348A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15B45B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financiranja: </w:t>
            </w:r>
          </w:p>
          <w:p w14:paraId="71C08F5C">
            <w:pPr>
              <w:widowControl w:val="0"/>
              <w:spacing w:after="0" w:line="36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opći prihodi i primici :  1.327,23  EUR</w:t>
            </w:r>
          </w:p>
        </w:tc>
      </w:tr>
      <w:tr w14:paraId="1A6BE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7886F559">
            <w:pPr>
              <w:spacing w:before="120" w:after="20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3.3. IZGRADNJA BICIKLISTIČKE STAZE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C7F4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 xml:space="preserve">78.500,00 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8F55B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B30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22,93</w:t>
            </w:r>
          </w:p>
        </w:tc>
      </w:tr>
      <w:tr w14:paraId="74A69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488F7C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Izvor financiranja:</w:t>
            </w:r>
          </w:p>
          <w:p w14:paraId="62D732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-opći prihodi i primici: 18.000,00 EUR</w:t>
            </w:r>
          </w:p>
        </w:tc>
      </w:tr>
      <w:tr w14:paraId="0B9E5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</w:tcPr>
          <w:p w14:paraId="387AEAAE">
            <w:pPr>
              <w:pStyle w:val="7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3.3.1. Projektna dokumentacija za biciklističku stazu 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5E89E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12.000,00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6A6E5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13.000,00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25215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108,33</w:t>
            </w:r>
          </w:p>
        </w:tc>
      </w:tr>
      <w:tr w14:paraId="229E4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3942D16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Izvor financiranja:</w:t>
            </w:r>
          </w:p>
          <w:p w14:paraId="5DD72B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-opći prihodi i primici: 13.000,00 EUR</w:t>
            </w:r>
          </w:p>
        </w:tc>
      </w:tr>
      <w:tr w14:paraId="33853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ashSmallGap" w:color="auto" w:sz="4" w:space="0"/>
            </w:tcBorders>
          </w:tcPr>
          <w:p w14:paraId="5478F79E">
            <w:pPr>
              <w:spacing w:before="120" w:after="20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3.3.2. Izgradnja biciklističke staze</w:t>
            </w:r>
          </w:p>
        </w:tc>
        <w:tc>
          <w:tcPr>
            <w:tcW w:w="1559" w:type="dxa"/>
            <w:tcBorders>
              <w:bottom w:val="dashSmallGap" w:color="auto" w:sz="4" w:space="0"/>
            </w:tcBorders>
            <w:vAlign w:val="center"/>
          </w:tcPr>
          <w:p w14:paraId="3FC0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61.500,00</w:t>
            </w:r>
          </w:p>
        </w:tc>
        <w:tc>
          <w:tcPr>
            <w:tcW w:w="2126" w:type="dxa"/>
            <w:tcBorders>
              <w:bottom w:val="dashSmallGap" w:color="auto" w:sz="4" w:space="0"/>
            </w:tcBorders>
            <w:vAlign w:val="center"/>
          </w:tcPr>
          <w:p w14:paraId="504F1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bottom w:val="dashSmallGap" w:color="auto" w:sz="4" w:space="0"/>
              <w:right w:val="single" w:color="auto" w:sz="12" w:space="0"/>
            </w:tcBorders>
            <w:vAlign w:val="center"/>
          </w:tcPr>
          <w:p w14:paraId="0475B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5965D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2DACC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Razlog izmjene: Radovi na izgradnji biciklističke staze će započeti u 2026. godini. Čeka se provedba geodetskog elaborata koji prethodi prijavi početka građenja. </w:t>
            </w:r>
          </w:p>
        </w:tc>
      </w:tr>
      <w:tr w14:paraId="3299D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ashSmallGap" w:color="auto" w:sz="4" w:space="0"/>
            </w:tcBorders>
          </w:tcPr>
          <w:p w14:paraId="72258E7E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3.3.3. Usluge</w:t>
            </w:r>
          </w:p>
        </w:tc>
        <w:tc>
          <w:tcPr>
            <w:tcW w:w="1559" w:type="dxa"/>
            <w:tcBorders>
              <w:bottom w:val="dashSmallGap" w:color="auto" w:sz="4" w:space="0"/>
            </w:tcBorders>
            <w:vAlign w:val="center"/>
          </w:tcPr>
          <w:p w14:paraId="25D86B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2126" w:type="dxa"/>
            <w:tcBorders>
              <w:bottom w:val="dashSmallGap" w:color="auto" w:sz="4" w:space="0"/>
            </w:tcBorders>
            <w:vAlign w:val="center"/>
          </w:tcPr>
          <w:p w14:paraId="7AAAF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bottom w:val="dashSmallGap" w:color="auto" w:sz="4" w:space="0"/>
              <w:right w:val="single" w:color="auto" w:sz="12" w:space="0"/>
            </w:tcBorders>
            <w:vAlign w:val="center"/>
          </w:tcPr>
          <w:p w14:paraId="0C0EE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100,00</w:t>
            </w:r>
          </w:p>
        </w:tc>
      </w:tr>
      <w:tr w14:paraId="6B2CA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ashSmallGap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5E74608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Izvor financiranja:</w:t>
            </w:r>
          </w:p>
          <w:p w14:paraId="3301E7F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-opći prihodi i primici: 5.000,00 EUR</w:t>
            </w:r>
          </w:p>
        </w:tc>
      </w:tr>
      <w:tr w14:paraId="60083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single" w:color="auto" w:sz="4" w:space="0"/>
            </w:tcBorders>
          </w:tcPr>
          <w:p w14:paraId="2D87F00F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3.4.UREĐENJE ŠETNICE UZ POTOK HORVATSKA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14:paraId="531146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2.000,00 EUR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58CDF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2.000,00 EUR</w:t>
            </w:r>
          </w:p>
        </w:tc>
        <w:tc>
          <w:tcPr>
            <w:tcW w:w="1134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6FD1D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100,00</w:t>
            </w:r>
          </w:p>
        </w:tc>
      </w:tr>
      <w:tr w14:paraId="1E88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06536BA9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Izvor financiranja:</w:t>
            </w:r>
          </w:p>
          <w:p w14:paraId="6F9AB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-komunalna naknada: 2.000,00 EUR</w:t>
            </w:r>
          </w:p>
        </w:tc>
      </w:tr>
      <w:tr w14:paraId="0BF2F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single" w:color="auto" w:sz="4" w:space="0"/>
            </w:tcBorders>
          </w:tcPr>
          <w:p w14:paraId="4569FB3E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3.4.1. Usluge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14:paraId="0DD84C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3E05F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1134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05684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75D2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single" w:color="auto" w:sz="4" w:space="0"/>
            </w:tcBorders>
          </w:tcPr>
          <w:p w14:paraId="0B462401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3.4.2. Nematerijalna imovina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14:paraId="1CDFF3B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2.000,00 EUR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56945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2.000,00 EUR</w:t>
            </w:r>
          </w:p>
        </w:tc>
        <w:tc>
          <w:tcPr>
            <w:tcW w:w="1134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141B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100,00</w:t>
            </w:r>
          </w:p>
        </w:tc>
      </w:tr>
      <w:tr w14:paraId="536F6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single" w:color="auto" w:sz="4" w:space="0"/>
            </w:tcBorders>
          </w:tcPr>
          <w:p w14:paraId="2FE6151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3.4.3. Uređenje šetnice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14:paraId="28C343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14:paraId="65F80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1134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78439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6248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9A916">
            <w:pPr>
              <w:pStyle w:val="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Postojeće građevine komunalne infrastrukture koje će se rekonstruirati i način rekonstrukcije</w:t>
            </w:r>
          </w:p>
        </w:tc>
      </w:tr>
      <w:tr w14:paraId="5F919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765C69">
            <w:pPr>
              <w:spacing w:before="120" w:after="200" w:line="276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4.1. IZGRADNJA - MODERNIZACIJA I ASFALTIRANJE NERAZVRSTANIH CESTA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 w14:paraId="04C3E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587.000,00 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vAlign w:val="center"/>
          </w:tcPr>
          <w:p w14:paraId="6AF23B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574.657,84</w:t>
            </w:r>
          </w:p>
        </w:tc>
        <w:tc>
          <w:tcPr>
            <w:tcW w:w="1134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EA60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97,90</w:t>
            </w:r>
          </w:p>
        </w:tc>
      </w:tr>
      <w:tr w14:paraId="5B7BC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735656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Izvor financiranja: </w:t>
            </w:r>
          </w:p>
          <w:p w14:paraId="4BC3D92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- potpora građana </w:t>
            </w:r>
            <w:bookmarkStart w:id="0" w:name="_Hlk121382600"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: 28.222,97 </w:t>
            </w:r>
            <w:bookmarkEnd w:id="0"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EUR</w:t>
            </w:r>
          </w:p>
          <w:p w14:paraId="336E00E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- komunalna naknada: 50.000,00 EUR</w:t>
            </w:r>
          </w:p>
          <w:p w14:paraId="44F3E3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- opći prihodi i primici: 496.434,87 EUR</w:t>
            </w:r>
          </w:p>
        </w:tc>
      </w:tr>
      <w:tr w14:paraId="09E68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6D1562FB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4.1.1. Izgradnja nerazvrstanih cesta :</w:t>
            </w:r>
          </w:p>
          <w:p w14:paraId="004BD837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- Turnišće Klanječko – Majceni – cca 1.700 m2</w:t>
            </w:r>
          </w:p>
          <w:p w14:paraId="78B25958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- Turnišće Klanječko – Harapin – cca 1.200 m2</w:t>
            </w:r>
          </w:p>
          <w:p w14:paraId="6D1A7AFB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 xml:space="preserve">- Dubrovčan – Pavliša – cca </w:t>
            </w:r>
            <w:r>
              <w:rPr>
                <w:rFonts w:ascii="Times New Roman" w:hAnsi="Times New Roman" w:eastAsia="Times New Roman" w:cs="Times New Roman"/>
                <w:lang w:val="en-US" w:eastAsia="hr-HR"/>
              </w:rPr>
              <w:t>100</w:t>
            </w:r>
            <w:r>
              <w:rPr>
                <w:rFonts w:ascii="Times New Roman" w:hAnsi="Times New Roman" w:eastAsia="Times New Roman" w:cs="Times New Roman"/>
                <w:lang w:eastAsia="hr-HR"/>
              </w:rPr>
              <w:t>0 m2</w:t>
            </w:r>
          </w:p>
          <w:p w14:paraId="2BECDAB5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- Jalšje- Bosh- cca 3100 m2</w:t>
            </w:r>
          </w:p>
          <w:p w14:paraId="388F1E68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- Jalšje prema kbr. Jalšje 1c – cca 1800 m2</w:t>
            </w:r>
          </w:p>
          <w:p w14:paraId="658E4EA6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- Jezero Klanječko prema kbr. 15- 800 m2</w:t>
            </w:r>
          </w:p>
          <w:p w14:paraId="1F6C3277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- Vinogradska ulica – cca 1.200,00 m2</w:t>
            </w:r>
          </w:p>
          <w:p w14:paraId="14D8B1E3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lang w:val="en-US" w:eastAsia="hr-HR"/>
              </w:rPr>
              <w:t>Dubrovčan 1c</w:t>
            </w:r>
            <w:r>
              <w:rPr>
                <w:rFonts w:ascii="Times New Roman" w:hAnsi="Times New Roman" w:eastAsia="Times New Roman" w:cs="Times New Roman"/>
                <w:lang w:eastAsia="hr-HR"/>
              </w:rPr>
              <w:t xml:space="preserve">  –  cca </w:t>
            </w:r>
            <w:r>
              <w:rPr>
                <w:rFonts w:ascii="Times New Roman" w:hAnsi="Times New Roman" w:eastAsia="Times New Roman" w:cs="Times New Roman"/>
                <w:lang w:val="en-US" w:eastAsia="hr-HR"/>
              </w:rPr>
              <w:t xml:space="preserve">260 </w:t>
            </w:r>
            <w:r>
              <w:rPr>
                <w:rFonts w:ascii="Times New Roman" w:hAnsi="Times New Roman" w:eastAsia="Times New Roman" w:cs="Times New Roman"/>
                <w:lang w:eastAsia="hr-HR"/>
              </w:rPr>
              <w:t xml:space="preserve"> m2</w:t>
            </w:r>
          </w:p>
          <w:p w14:paraId="582CFCD9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- Družilovec prema kbr. 131A – cca 510,00 m2</w:t>
            </w:r>
          </w:p>
          <w:p w14:paraId="50ECF130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- Ulica Andrije Hebranga- Zvonimirova ulica (spojna) – 1900 m2</w:t>
            </w:r>
          </w:p>
          <w:p w14:paraId="2CEDAEE8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Ulica Ksavera Šandora Đalskom (kbr. 41 i kbr. 51)-760</w:t>
            </w:r>
          </w:p>
          <w:p w14:paraId="355BC669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 xml:space="preserve"> m2</w:t>
            </w:r>
          </w:p>
          <w:p w14:paraId="75FC26A1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lang w:eastAsia="hr-HR"/>
              </w:rPr>
              <w:t>- Družilovec prema 131A- cca 510 m2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6562E8B2">
            <w:pPr>
              <w:spacing w:before="120" w:after="20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432.000,00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1E85D865">
            <w:pPr>
              <w:spacing w:before="120" w:after="20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420.051,58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0FCB6B78">
            <w:pPr>
              <w:spacing w:before="120" w:after="20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97,23</w:t>
            </w:r>
          </w:p>
        </w:tc>
      </w:tr>
      <w:tr w14:paraId="66940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EA453A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 ukupno: </w:t>
            </w:r>
          </w:p>
          <w:p w14:paraId="4A6E7BB1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potpora građana : 28.222,97 EUR</w:t>
            </w:r>
          </w:p>
          <w:p w14:paraId="0B8C02EE">
            <w:pPr>
              <w:spacing w:before="120"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opći prihodi i primici: 341.828,61 EUR</w:t>
            </w:r>
          </w:p>
          <w:p w14:paraId="26A6C303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- komunalna naknada: 50.000,00  EUR</w:t>
            </w:r>
          </w:p>
        </w:tc>
      </w:tr>
      <w:tr w14:paraId="0926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414A8F54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4.1.1.1. Kameni materijal i izrada podloge za asfaltiranje cesta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646967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110.000,00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3ABC24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100.088,24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5EC6BB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90,99</w:t>
            </w:r>
          </w:p>
        </w:tc>
      </w:tr>
      <w:tr w14:paraId="50EC2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C0CED0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 ukupno: </w:t>
            </w:r>
          </w:p>
          <w:p w14:paraId="56CAED15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potpora građana : 10.000,00 EUR</w:t>
            </w:r>
          </w:p>
          <w:p w14:paraId="41F63192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opći prihodi i primici: 65.088,24 EUR</w:t>
            </w:r>
          </w:p>
          <w:p w14:paraId="4D40FB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- komunalna naknada: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25.000,00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EUR</w:t>
            </w:r>
          </w:p>
        </w:tc>
      </w:tr>
      <w:tr w14:paraId="181F6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14D618EF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4.1.1.2. Asfaltiranje nerazvrstanih cesta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748733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305.000,00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01D696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303.584,16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20592C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99,54</w:t>
            </w:r>
          </w:p>
        </w:tc>
      </w:tr>
      <w:tr w14:paraId="2E247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70FBB1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 ukupno: </w:t>
            </w:r>
          </w:p>
          <w:p w14:paraId="057472E5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- potpora građana : 18.222,97 EUR</w:t>
            </w:r>
          </w:p>
          <w:p w14:paraId="5F687A81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- opći prihodi i primici: 260.361,19 EUR</w:t>
            </w:r>
          </w:p>
          <w:p w14:paraId="76B8E4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- komunalna naknada: 25.000,00 EUR</w:t>
            </w:r>
          </w:p>
        </w:tc>
      </w:tr>
      <w:tr w14:paraId="17F97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08254606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4.1.1.3.Sredstva za usluge nadzora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18FC0E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    17.000,00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18C6FD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16.379,18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2503A5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96,35</w:t>
            </w:r>
          </w:p>
        </w:tc>
      </w:tr>
      <w:tr w14:paraId="5CF3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7FA3946E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 ukupno: </w:t>
            </w:r>
          </w:p>
          <w:p w14:paraId="32F786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- opći prihodi i primici: 16.379,18  EUR</w:t>
            </w:r>
          </w:p>
        </w:tc>
      </w:tr>
      <w:tr w14:paraId="0DCEC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57F88CCD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4.1.2. Zemljište za proširenje ceste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753E76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150.000,00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786555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149.950,01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629BCB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99,97</w:t>
            </w:r>
          </w:p>
        </w:tc>
      </w:tr>
      <w:tr w14:paraId="56532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E8486B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 ukupno: </w:t>
            </w:r>
          </w:p>
          <w:p w14:paraId="5AC518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 opći prihodi i primici: 149.950,01 EUR</w:t>
            </w:r>
          </w:p>
        </w:tc>
      </w:tr>
      <w:tr w14:paraId="1667F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708AE7EA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4.1.3. Dokumentacija potrebna za upis NC u </w:t>
            </w:r>
          </w:p>
          <w:p w14:paraId="51389735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zemljišne knjige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030D9D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5.000,00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  <w:vAlign w:val="center"/>
          </w:tcPr>
          <w:p w14:paraId="3C5C47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4.656,25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  <w:vAlign w:val="center"/>
          </w:tcPr>
          <w:p w14:paraId="3B2BB2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93,13</w:t>
            </w:r>
          </w:p>
        </w:tc>
      </w:tr>
      <w:tr w14:paraId="3E810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dotted" w:color="auto" w:sz="4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6FA655EA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financiranja: </w:t>
            </w:r>
          </w:p>
          <w:p w14:paraId="59A7966E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Opći prihodi i primici: 4.656,25 EUR</w:t>
            </w:r>
          </w:p>
        </w:tc>
        <w:tc>
          <w:tcPr>
            <w:tcW w:w="1559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0D42D839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tcBorders>
              <w:top w:val="dotted" w:color="auto" w:sz="4" w:space="0"/>
              <w:bottom w:val="dotted" w:color="auto" w:sz="4" w:space="0"/>
            </w:tcBorders>
          </w:tcPr>
          <w:p w14:paraId="586DC983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dotted" w:color="auto" w:sz="4" w:space="0"/>
              <w:bottom w:val="dotted" w:color="auto" w:sz="4" w:space="0"/>
              <w:right w:val="single" w:color="auto" w:sz="12" w:space="0"/>
            </w:tcBorders>
          </w:tcPr>
          <w:p w14:paraId="06D89962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</w:p>
        </w:tc>
      </w:tr>
      <w:tr w14:paraId="296B0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61D88755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4.1.4. Tehnička dokumentacija za ceste</w:t>
            </w:r>
          </w:p>
        </w:tc>
        <w:tc>
          <w:tcPr>
            <w:tcW w:w="1559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4ACCB3A0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0,00 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2A13E2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57E93A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2860D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197E9683">
            <w:pPr>
              <w:spacing w:before="24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Izvor financiranja: -</w:t>
            </w:r>
          </w:p>
        </w:tc>
      </w:tr>
      <w:tr w14:paraId="79F04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ashSmallGap" w:color="auto" w:sz="4" w:space="0"/>
            </w:tcBorders>
            <w:vAlign w:val="center"/>
          </w:tcPr>
          <w:p w14:paraId="60E242D3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4.1.5. Prometni elaborat za smirivanje prometa</w:t>
            </w:r>
          </w:p>
        </w:tc>
        <w:tc>
          <w:tcPr>
            <w:tcW w:w="1559" w:type="dxa"/>
            <w:tcBorders>
              <w:top w:val="single" w:color="auto" w:sz="4" w:space="0"/>
              <w:bottom w:val="dashSmallGap" w:color="auto" w:sz="4" w:space="0"/>
            </w:tcBorders>
            <w:vAlign w:val="center"/>
          </w:tcPr>
          <w:p w14:paraId="632A7124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0,00 </w:t>
            </w:r>
          </w:p>
        </w:tc>
        <w:tc>
          <w:tcPr>
            <w:tcW w:w="2126" w:type="dxa"/>
            <w:tcBorders>
              <w:top w:val="single" w:color="auto" w:sz="4" w:space="0"/>
              <w:bottom w:val="dashSmallGap" w:color="auto" w:sz="4" w:space="0"/>
            </w:tcBorders>
          </w:tcPr>
          <w:p w14:paraId="6E435FC5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bottom w:val="dashSmallGap" w:color="auto" w:sz="4" w:space="0"/>
              <w:right w:val="single" w:color="auto" w:sz="12" w:space="0"/>
            </w:tcBorders>
          </w:tcPr>
          <w:p w14:paraId="29BE05C6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4169C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ashSmallGap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305B80D2">
            <w:pPr>
              <w:spacing w:before="24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Izvor financiranja: -</w:t>
            </w:r>
          </w:p>
        </w:tc>
      </w:tr>
      <w:tr w14:paraId="15D04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12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6103FFD2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4.2. REKONSTRUKCIJA I OPREMANJE NOGOMETNOG TERENA NK OMLADINAC DUBROVČAN</w:t>
            </w:r>
          </w:p>
        </w:tc>
        <w:tc>
          <w:tcPr>
            <w:tcW w:w="1559" w:type="dxa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 w14:paraId="717A132C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0,00 </w:t>
            </w:r>
          </w:p>
        </w:tc>
        <w:tc>
          <w:tcPr>
            <w:tcW w:w="2126" w:type="dxa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 w14:paraId="733E70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3D7A3F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</w:t>
            </w:r>
          </w:p>
        </w:tc>
      </w:tr>
      <w:tr w14:paraId="5D75C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00457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Izvor financiranja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: - </w:t>
            </w:r>
          </w:p>
        </w:tc>
      </w:tr>
      <w:tr w14:paraId="1257A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4550280F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4.2.1.Projektna dokumentacija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2F1DA5B6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</w:tcPr>
          <w:p w14:paraId="1F6AFDED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</w:tcPr>
          <w:p w14:paraId="669C3986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1C740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1A735613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4.2.2. </w:t>
            </w:r>
            <w:r>
              <w:rPr>
                <w:rFonts w:ascii="Times New Roman" w:hAnsi="Times New Roman" w:eastAsia="Times New Roman" w:cs="Times New Roman"/>
                <w:bCs/>
                <w:lang w:eastAsia="hr-HR"/>
              </w:rPr>
              <w:t>Dodatna ulaganja na građevinskim objektima</w:t>
            </w:r>
          </w:p>
        </w:tc>
        <w:tc>
          <w:tcPr>
            <w:tcW w:w="1559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55B9D697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</w:tcPr>
          <w:p w14:paraId="556A47D4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</w:tcPr>
          <w:p w14:paraId="69527C36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42CB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12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08DEF0D2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4.3. IZGRADNJA ULICE AUGUSTA ŠENOE</w:t>
            </w:r>
          </w:p>
        </w:tc>
        <w:tc>
          <w:tcPr>
            <w:tcW w:w="1559" w:type="dxa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 w14:paraId="6BC962A8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269.500,00 </w:t>
            </w:r>
          </w:p>
        </w:tc>
        <w:tc>
          <w:tcPr>
            <w:tcW w:w="2126" w:type="dxa"/>
            <w:tcBorders>
              <w:top w:val="single" w:color="auto" w:sz="12" w:space="0"/>
              <w:bottom w:val="dotted" w:color="auto" w:sz="4" w:space="0"/>
            </w:tcBorders>
            <w:vAlign w:val="center"/>
          </w:tcPr>
          <w:p w14:paraId="27DAB3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266.972,00</w:t>
            </w:r>
          </w:p>
        </w:tc>
        <w:tc>
          <w:tcPr>
            <w:tcW w:w="1134" w:type="dxa"/>
            <w:tcBorders>
              <w:top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0C375B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99,06</w:t>
            </w:r>
          </w:p>
        </w:tc>
      </w:tr>
      <w:tr w14:paraId="706F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AD7A92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 xml:space="preserve">Izvor financiranja: </w:t>
            </w:r>
          </w:p>
          <w:p w14:paraId="3F7B18B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  <w:t>- opći prihodi i primici : 266.972,00  EUR</w:t>
            </w:r>
          </w:p>
        </w:tc>
      </w:tr>
      <w:tr w14:paraId="5DB07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left w:val="single" w:color="auto" w:sz="12" w:space="0"/>
              <w:bottom w:val="dotted" w:color="auto" w:sz="4" w:space="0"/>
            </w:tcBorders>
            <w:vAlign w:val="center"/>
          </w:tcPr>
          <w:p w14:paraId="03E694F8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4.3.1.Usluge</w:t>
            </w:r>
          </w:p>
        </w:tc>
        <w:tc>
          <w:tcPr>
            <w:tcW w:w="1559" w:type="dxa"/>
            <w:tcBorders>
              <w:bottom w:val="dotted" w:color="auto" w:sz="4" w:space="0"/>
            </w:tcBorders>
            <w:vAlign w:val="center"/>
          </w:tcPr>
          <w:p w14:paraId="3FEDA52B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5.000,00 </w:t>
            </w:r>
          </w:p>
        </w:tc>
        <w:tc>
          <w:tcPr>
            <w:tcW w:w="2126" w:type="dxa"/>
            <w:tcBorders>
              <w:bottom w:val="dotted" w:color="auto" w:sz="4" w:space="0"/>
            </w:tcBorders>
          </w:tcPr>
          <w:p w14:paraId="1AE62981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bottom w:val="dotted" w:color="auto" w:sz="4" w:space="0"/>
              <w:right w:val="single" w:color="auto" w:sz="12" w:space="0"/>
            </w:tcBorders>
          </w:tcPr>
          <w:p w14:paraId="0AD30D43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056A4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BF569B">
            <w:pPr>
              <w:spacing w:before="24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 Razlog izmjene:  Geodetski elaborat izrađen u svrhu ishođenja lokacijske dozvole je knjižen pod projektnom dokumentacijom</w:t>
            </w:r>
          </w:p>
        </w:tc>
      </w:tr>
      <w:tr w14:paraId="4BC8D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5A0C76EB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4.3.2. Otkup zemljišta</w:t>
            </w:r>
          </w:p>
        </w:tc>
        <w:tc>
          <w:tcPr>
            <w:tcW w:w="1559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2B3AE8B1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250.000,00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</w:tcPr>
          <w:p w14:paraId="0DFDA78B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248.472,00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</w:tcPr>
          <w:p w14:paraId="57113FC9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99,39</w:t>
            </w:r>
          </w:p>
        </w:tc>
      </w:tr>
      <w:tr w14:paraId="5F1D4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B95082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financiranja: </w:t>
            </w:r>
          </w:p>
          <w:p w14:paraId="515904E2">
            <w:pPr>
              <w:spacing w:before="24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- opći prihodi i primici 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248.472,00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EUR</w:t>
            </w:r>
          </w:p>
        </w:tc>
      </w:tr>
      <w:tr w14:paraId="7CCCB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0072E877">
            <w:pPr>
              <w:pStyle w:val="7"/>
              <w:numPr>
                <w:ilvl w:val="2"/>
                <w:numId w:val="5"/>
              </w:num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Projektna dokumentacija </w:t>
            </w:r>
          </w:p>
        </w:tc>
        <w:tc>
          <w:tcPr>
            <w:tcW w:w="1559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534CC22B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14.500,00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</w:tcPr>
          <w:p w14:paraId="42C1DA84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18.500,00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</w:tcPr>
          <w:p w14:paraId="21E8D8AA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127,59</w:t>
            </w:r>
          </w:p>
        </w:tc>
      </w:tr>
      <w:tr w14:paraId="3F73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565F1DA0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Izvor financiranja: </w:t>
            </w:r>
          </w:p>
          <w:p w14:paraId="10D7BCD5">
            <w:pPr>
              <w:spacing w:before="24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- opći prihodi i primici 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18.500,00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EUR</w:t>
            </w:r>
          </w:p>
        </w:tc>
      </w:tr>
      <w:tr w14:paraId="0A8AB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vAlign w:val="center"/>
          </w:tcPr>
          <w:p w14:paraId="30BAD503">
            <w:pPr>
              <w:spacing w:before="24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 xml:space="preserve">Razlog izmjene: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Geodetski elaborat izrađen u svrhu ishođenja lokacijske dozvole je knjižen pod projektnom dokumentacijom. </w:t>
            </w:r>
          </w:p>
        </w:tc>
      </w:tr>
      <w:tr w14:paraId="0E22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815" w:type="dxa"/>
            <w:tcBorders>
              <w:top w:val="single" w:color="auto" w:sz="4" w:space="0"/>
              <w:left w:val="single" w:color="auto" w:sz="12" w:space="0"/>
              <w:bottom w:val="dotted" w:color="auto" w:sz="4" w:space="0"/>
            </w:tcBorders>
            <w:vAlign w:val="center"/>
          </w:tcPr>
          <w:p w14:paraId="6B78476A">
            <w:pPr>
              <w:spacing w:before="120"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4.3.4. Izgradnja</w:t>
            </w:r>
          </w:p>
        </w:tc>
        <w:tc>
          <w:tcPr>
            <w:tcW w:w="1559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0058AC84">
            <w:pPr>
              <w:spacing w:before="12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2126" w:type="dxa"/>
            <w:tcBorders>
              <w:top w:val="single" w:color="auto" w:sz="4" w:space="0"/>
              <w:bottom w:val="dotted" w:color="auto" w:sz="4" w:space="0"/>
            </w:tcBorders>
          </w:tcPr>
          <w:p w14:paraId="64DEF2EE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bottom w:val="dotted" w:color="auto" w:sz="4" w:space="0"/>
              <w:right w:val="single" w:color="auto" w:sz="12" w:space="0"/>
            </w:tcBorders>
          </w:tcPr>
          <w:p w14:paraId="581A9065">
            <w:pPr>
              <w:spacing w:before="24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14:paraId="70117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634" w:type="dxa"/>
            <w:gridSpan w:val="4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9B1214">
            <w:pPr>
              <w:spacing w:before="24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hr-HR"/>
              </w:rPr>
              <w:t>Izvor financiranja:-</w:t>
            </w:r>
          </w:p>
        </w:tc>
      </w:tr>
    </w:tbl>
    <w:p w14:paraId="3182609A">
      <w:pPr>
        <w:spacing w:after="0"/>
        <w:jc w:val="both"/>
        <w:rPr>
          <w:rFonts w:ascii="Times New Roman" w:hAnsi="Times New Roman" w:eastAsia="Times New Roman" w:cs="Times New Roman"/>
          <w:color w:val="EE0000"/>
        </w:rPr>
      </w:pPr>
    </w:p>
    <w:p w14:paraId="074E6C23">
      <w:pPr>
        <w:rPr>
          <w:rFonts w:ascii="Times New Roman" w:hAnsi="Times New Roman" w:eastAsia="Calibri" w:cs="Times New Roman"/>
          <w:lang w:eastAsia="hr-HR"/>
        </w:rPr>
      </w:pPr>
    </w:p>
    <w:p w14:paraId="669739A7">
      <w:pPr>
        <w:spacing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III</w:t>
      </w:r>
    </w:p>
    <w:p w14:paraId="528BABAF">
      <w:pPr>
        <w:spacing w:after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 xml:space="preserve">Programom održavanja komunalne infrastrukture na području općine Veliko Trgovišće bile su planirane i ostvarene aktivnosti </w:t>
      </w:r>
      <w:r>
        <w:rPr>
          <w:rFonts w:ascii="Times New Roman" w:hAnsi="Times New Roman" w:eastAsia="Times New Roman" w:cs="Times New Roman"/>
          <w:lang w:eastAsia="hr-HR"/>
        </w:rPr>
        <w:t xml:space="preserve">po djelatnostima </w:t>
      </w:r>
      <w:r>
        <w:rPr>
          <w:rFonts w:ascii="Times New Roman" w:hAnsi="Times New Roman" w:eastAsia="Times New Roman" w:cs="Times New Roman"/>
        </w:rPr>
        <w:t>kako slijedi:</w:t>
      </w:r>
    </w:p>
    <w:p w14:paraId="4A365995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</w:p>
    <w:p w14:paraId="2217732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</w:p>
    <w:p w14:paraId="78A9B10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b/>
          <w:bCs/>
          <w:lang w:eastAsia="hr-HR"/>
        </w:rPr>
        <w:t>Održavanje i uređnje nerazvrstanih cesta</w:t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 xml:space="preserve">  </w:t>
      </w:r>
    </w:p>
    <w:p w14:paraId="20FA32AA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b/>
          <w:i/>
          <w:lang w:eastAsia="hr-HR"/>
        </w:rPr>
      </w:pPr>
      <w:r>
        <w:rPr>
          <w:rFonts w:ascii="Times New Roman" w:hAnsi="Times New Roman" w:eastAsia="Times New Roman" w:cs="Times New Roman"/>
          <w:b/>
          <w:i/>
          <w:lang w:eastAsia="hr-HR"/>
        </w:rPr>
        <w:t>Planirano:     211.000,00 EUR      ostvareno: 190.942,29 EUR     indeks 90,49</w:t>
      </w:r>
    </w:p>
    <w:p w14:paraId="5E22031F">
      <w:pPr>
        <w:spacing w:after="0" w:line="240" w:lineRule="auto"/>
        <w:ind w:left="644"/>
        <w:jc w:val="both"/>
        <w:rPr>
          <w:rFonts w:ascii="Times New Roman" w:hAnsi="Times New Roman" w:eastAsia="Times New Roman"/>
          <w:color w:val="FF0000"/>
          <w:lang w:eastAsia="hr-HR"/>
        </w:rPr>
      </w:pP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color w:val="FF0000"/>
          <w:lang w:eastAsia="hr-HR"/>
        </w:rPr>
        <w:tab/>
      </w:r>
      <w:r>
        <w:rPr>
          <w:rFonts w:ascii="Times New Roman" w:hAnsi="Times New Roman" w:eastAsia="Times New Roman"/>
          <w:color w:val="FF0000"/>
          <w:lang w:eastAsia="hr-HR"/>
        </w:rPr>
        <w:t xml:space="preserve">                         </w:t>
      </w:r>
    </w:p>
    <w:p w14:paraId="47D0CC91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 xml:space="preserve">-  održavanje prohodnosti uslijed rasta raslinja uz  nerazvrstane ceste  - košnja bankina,  rezanje granja,  rušenje drveća koje ometa promet i  rušenje drveća koje izaziva oštećenje kolnika  </w:t>
      </w:r>
    </w:p>
    <w:p w14:paraId="56A4266E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>-planirano 25.000,00 EUR - ostvareno 24.987,50 EUR</w:t>
      </w:r>
      <w:r>
        <w:rPr>
          <w:rFonts w:ascii="Times New Roman" w:hAnsi="Times New Roman" w:eastAsia="Times New Roman"/>
          <w:lang w:eastAsia="hr-HR"/>
        </w:rPr>
        <w:tab/>
      </w:r>
      <w:r>
        <w:rPr>
          <w:rFonts w:ascii="Times New Roman" w:hAnsi="Times New Roman" w:eastAsia="Times New Roman"/>
          <w:lang w:eastAsia="hr-HR"/>
        </w:rPr>
        <w:t xml:space="preserve"> - indeks 99,95</w:t>
      </w:r>
    </w:p>
    <w:p w14:paraId="41C880DD">
      <w:pPr>
        <w:spacing w:after="0" w:line="240" w:lineRule="auto"/>
        <w:jc w:val="both"/>
        <w:rPr>
          <w:rFonts w:ascii="Times New Roman" w:hAnsi="Times New Roman" w:eastAsia="Times New Roman"/>
          <w:color w:val="EE0000"/>
          <w:lang w:eastAsia="hr-HR"/>
        </w:rPr>
      </w:pPr>
    </w:p>
    <w:p w14:paraId="44047FC4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>-  dopremu, ugradnju i razgrtanje kamenog materijala</w:t>
      </w:r>
    </w:p>
    <w:p w14:paraId="7BA6681A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>planirano  136.500,00 EUR – ostvareno 128.371,49 - indeks 94,05</w:t>
      </w:r>
    </w:p>
    <w:p w14:paraId="39F4AED9">
      <w:pPr>
        <w:spacing w:after="0" w:line="240" w:lineRule="auto"/>
        <w:jc w:val="both"/>
        <w:rPr>
          <w:rFonts w:ascii="Times New Roman" w:hAnsi="Times New Roman" w:eastAsia="Times New Roman"/>
          <w:color w:val="EE0000"/>
          <w:lang w:eastAsia="hr-HR"/>
        </w:rPr>
      </w:pPr>
    </w:p>
    <w:p w14:paraId="7AE488FB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 xml:space="preserve">-  sanaciju i popravak asfaltnog sloja </w:t>
      </w:r>
    </w:p>
    <w:p w14:paraId="4ACC7956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>planirano 0,00 EUR – ostvareno 0,00 EUR - indeks  0,00</w:t>
      </w:r>
    </w:p>
    <w:p w14:paraId="77B44FF4">
      <w:pPr>
        <w:spacing w:after="0" w:line="240" w:lineRule="auto"/>
        <w:ind w:left="306"/>
        <w:jc w:val="both"/>
        <w:rPr>
          <w:rFonts w:ascii="Times New Roman" w:hAnsi="Times New Roman" w:eastAsia="Times New Roman"/>
          <w:color w:val="EE0000"/>
          <w:sz w:val="8"/>
          <w:szCs w:val="8"/>
          <w:lang w:eastAsia="hr-HR"/>
        </w:rPr>
      </w:pPr>
    </w:p>
    <w:p w14:paraId="2D7597B1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 xml:space="preserve">- uređenje i obnova bankina </w:t>
      </w:r>
    </w:p>
    <w:p w14:paraId="3EE9E3AF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>planirano 6.500,00  EUR – ostvareno 6.081,25  EUR-indeks 93,56</w:t>
      </w:r>
    </w:p>
    <w:p w14:paraId="2DD09953">
      <w:pPr>
        <w:spacing w:after="0" w:line="240" w:lineRule="auto"/>
        <w:ind w:left="306"/>
        <w:jc w:val="both"/>
        <w:rPr>
          <w:rFonts w:ascii="Times New Roman" w:hAnsi="Times New Roman" w:eastAsia="Times New Roman"/>
          <w:color w:val="EE0000"/>
          <w:lang w:eastAsia="hr-HR"/>
        </w:rPr>
      </w:pPr>
    </w:p>
    <w:p w14:paraId="3696DC72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 xml:space="preserve">-  zimsko održavanje i čišćenje nerazvrstanih cesta </w:t>
      </w:r>
    </w:p>
    <w:p w14:paraId="5493CC57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 xml:space="preserve"> planirano 37.000,00 EUR – ostvareno 25.819,67  EUR- indeks 69,78 </w:t>
      </w:r>
    </w:p>
    <w:p w14:paraId="3055180C">
      <w:pPr>
        <w:spacing w:after="0" w:line="240" w:lineRule="auto"/>
        <w:ind w:left="306"/>
        <w:jc w:val="both"/>
        <w:rPr>
          <w:rFonts w:ascii="Times New Roman" w:hAnsi="Times New Roman" w:eastAsia="Times New Roman"/>
          <w:sz w:val="8"/>
          <w:szCs w:val="8"/>
          <w:lang w:eastAsia="hr-HR"/>
        </w:rPr>
      </w:pPr>
    </w:p>
    <w:p w14:paraId="14D26FE9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>Razlog izmjena: Utrošeno je manje sredstava na zimsko održavanje i čiščenje nerazvrstanih cesta od predviđenih zbog povoljnijih vremenskih prilika od očekivanih.</w:t>
      </w:r>
    </w:p>
    <w:p w14:paraId="2DFB1449">
      <w:pPr>
        <w:spacing w:after="0" w:line="240" w:lineRule="auto"/>
        <w:ind w:left="306"/>
        <w:jc w:val="both"/>
        <w:rPr>
          <w:rFonts w:ascii="Times New Roman" w:hAnsi="Times New Roman" w:eastAsia="Times New Roman"/>
          <w:color w:val="EE0000"/>
          <w:lang w:eastAsia="hr-HR"/>
        </w:rPr>
      </w:pPr>
    </w:p>
    <w:p w14:paraId="5B3BC422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 xml:space="preserve">-  prometni znakovi </w:t>
      </w:r>
    </w:p>
    <w:p w14:paraId="1EE03B06">
      <w:pPr>
        <w:spacing w:after="0" w:line="240" w:lineRule="auto"/>
        <w:ind w:left="306"/>
        <w:jc w:val="both"/>
        <w:rPr>
          <w:rFonts w:ascii="Times New Roman" w:hAnsi="Times New Roman" w:eastAsia="Times New Roman"/>
          <w:lang w:eastAsia="hr-HR"/>
        </w:rPr>
      </w:pPr>
      <w:r>
        <w:rPr>
          <w:rFonts w:ascii="Times New Roman" w:hAnsi="Times New Roman" w:eastAsia="Times New Roman"/>
          <w:lang w:eastAsia="hr-HR"/>
        </w:rPr>
        <w:t xml:space="preserve"> planirano 6.000,00 EUR – ostvareno 5.682,38 EUR- indeks 94,71 </w:t>
      </w:r>
    </w:p>
    <w:p w14:paraId="1B451386">
      <w:pPr>
        <w:spacing w:after="0" w:line="240" w:lineRule="auto"/>
        <w:ind w:left="306"/>
        <w:jc w:val="both"/>
        <w:rPr>
          <w:rFonts w:ascii="Times New Roman" w:hAnsi="Times New Roman" w:eastAsia="Times New Roman"/>
          <w:color w:val="EE0000"/>
          <w:sz w:val="8"/>
          <w:szCs w:val="8"/>
          <w:lang w:eastAsia="hr-HR"/>
        </w:rPr>
      </w:pPr>
    </w:p>
    <w:p w14:paraId="76D7996F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</w:p>
    <w:p w14:paraId="266F304D">
      <w:p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bCs/>
          <w:lang w:eastAsia="hr-HR"/>
        </w:rPr>
      </w:pPr>
      <w:r>
        <w:rPr>
          <w:rFonts w:ascii="Times New Roman" w:hAnsi="Times New Roman" w:eastAsia="Times New Roman" w:cs="Times New Roman"/>
          <w:b/>
          <w:bCs/>
          <w:lang w:eastAsia="hr-HR"/>
        </w:rPr>
        <w:t xml:space="preserve">Izvor financiranja: </w:t>
      </w:r>
    </w:p>
    <w:p w14:paraId="1FEAA420">
      <w:p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- prihod od komunalne naknade u iznosu od :  23.848,21 EUR</w:t>
      </w:r>
    </w:p>
    <w:p w14:paraId="72CABA5E">
      <w:p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- prihod od naknade za zadržavanje nezakonito izgrađenih zgrada u prostoru:  55,26  EUR</w:t>
      </w:r>
    </w:p>
    <w:p w14:paraId="7632D0CA">
      <w:pPr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- opći prihodi i primici: 167.038,82 EUR</w:t>
      </w:r>
    </w:p>
    <w:p w14:paraId="2FE51A7F">
      <w:pPr>
        <w:spacing w:after="0" w:line="240" w:lineRule="auto"/>
        <w:jc w:val="both"/>
        <w:rPr>
          <w:rFonts w:ascii="Times New Roman" w:hAnsi="Times New Roman" w:eastAsia="Times New Roman" w:cs="Times New Roman"/>
          <w:color w:val="EE0000"/>
          <w:lang w:eastAsia="hr-HR"/>
        </w:rPr>
      </w:pPr>
    </w:p>
    <w:p w14:paraId="0336533B">
      <w:pPr>
        <w:spacing w:after="0" w:line="240" w:lineRule="auto"/>
        <w:ind w:left="306"/>
        <w:jc w:val="both"/>
        <w:rPr>
          <w:rFonts w:ascii="Times New Roman" w:hAnsi="Times New Roman" w:eastAsia="Times New Roman" w:cs="Times New Roman"/>
          <w:color w:val="EE0000"/>
          <w:lang w:eastAsia="hr-HR"/>
        </w:rPr>
      </w:pPr>
    </w:p>
    <w:p w14:paraId="7E908602">
      <w:pPr>
        <w:pStyle w:val="7"/>
        <w:numPr>
          <w:ilvl w:val="0"/>
          <w:numId w:val="6"/>
        </w:numPr>
        <w:spacing w:after="0" w:line="240" w:lineRule="auto"/>
        <w:ind w:left="641" w:hanging="357"/>
        <w:jc w:val="both"/>
        <w:rPr>
          <w:rFonts w:ascii="Times New Roman" w:hAnsi="Times New Roman" w:eastAsia="Times New Roman" w:cs="Times New Roman"/>
          <w:b/>
          <w:bCs/>
          <w:lang w:eastAsia="hr-HR"/>
        </w:rPr>
      </w:pPr>
      <w:r>
        <w:rPr>
          <w:rFonts w:ascii="Times New Roman" w:hAnsi="Times New Roman" w:eastAsia="Times New Roman" w:cs="Times New Roman"/>
          <w:b/>
          <w:bCs/>
          <w:lang w:eastAsia="hr-HR"/>
        </w:rPr>
        <w:t xml:space="preserve">Održavanje i čišćenje javnih površina na kojima nije dopušten promet motornim vozilima i javnih zelenih površina   </w:t>
      </w:r>
    </w:p>
    <w:p w14:paraId="3241EB42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planirano  269.500,00 EUR – ostvareno 282.893,43  EUR- indeks: 104,97</w:t>
      </w:r>
    </w:p>
    <w:p w14:paraId="65856AEF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</w:p>
    <w:p w14:paraId="48E28268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b/>
          <w:bCs/>
          <w:lang w:eastAsia="hr-HR"/>
        </w:rPr>
      </w:pPr>
      <w:r>
        <w:rPr>
          <w:rFonts w:ascii="Times New Roman" w:hAnsi="Times New Roman" w:eastAsia="Times New Roman" w:cs="Times New Roman"/>
          <w:b/>
          <w:bCs/>
          <w:lang w:eastAsia="hr-HR"/>
        </w:rPr>
        <w:t xml:space="preserve">Izvor financiranja: </w:t>
      </w:r>
    </w:p>
    <w:p w14:paraId="34B1AAD2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- prihod od komunalne naknade:  40.000,00 EUR</w:t>
      </w:r>
    </w:p>
    <w:p w14:paraId="358B3F33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- opći prihodi i primici: 229.500,00 EUR</w:t>
      </w:r>
    </w:p>
    <w:p w14:paraId="182AA2A5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EE0000"/>
          <w:lang w:eastAsia="hr-HR"/>
        </w:rPr>
      </w:pPr>
    </w:p>
    <w:p w14:paraId="1EF3085E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color w:val="EE0000"/>
          <w:lang w:eastAsia="hr-HR"/>
        </w:rPr>
      </w:pPr>
    </w:p>
    <w:p w14:paraId="2D41EE5E">
      <w:pPr>
        <w:numPr>
          <w:ilvl w:val="0"/>
          <w:numId w:val="6"/>
        </w:numPr>
        <w:spacing w:after="0" w:line="240" w:lineRule="auto"/>
        <w:ind w:left="641" w:hanging="357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b/>
          <w:bCs/>
          <w:lang w:eastAsia="hr-HR"/>
        </w:rPr>
        <w:t>Održavanje građevina javne odvodnje oborinskih voda</w:t>
      </w:r>
      <w:r>
        <w:rPr>
          <w:rFonts w:ascii="Times New Roman" w:hAnsi="Times New Roman" w:eastAsia="Times New Roman" w:cs="Times New Roman"/>
          <w:lang w:eastAsia="hr-HR"/>
        </w:rPr>
        <w:t xml:space="preserve">               </w:t>
      </w:r>
    </w:p>
    <w:p w14:paraId="6C94BBF6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Planirano 24.000,00 EUR    - ostvareno 23.179,95- indeks: 96,58  </w:t>
      </w:r>
    </w:p>
    <w:p w14:paraId="20FBC6F4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   </w:t>
      </w:r>
    </w:p>
    <w:p w14:paraId="760C3868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b/>
          <w:bCs/>
          <w:lang w:eastAsia="hr-HR"/>
        </w:rPr>
      </w:pPr>
      <w:r>
        <w:rPr>
          <w:rFonts w:ascii="Times New Roman" w:hAnsi="Times New Roman" w:eastAsia="Times New Roman" w:cs="Times New Roman"/>
          <w:b/>
          <w:bCs/>
          <w:lang w:eastAsia="hr-HR"/>
        </w:rPr>
        <w:t xml:space="preserve">Izvor financiranja: </w:t>
      </w:r>
    </w:p>
    <w:p w14:paraId="4DDCEFB5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- </w:t>
      </w:r>
      <w:bookmarkStart w:id="1" w:name="_Hlk121313377"/>
      <w:r>
        <w:rPr>
          <w:rFonts w:ascii="Times New Roman" w:hAnsi="Times New Roman" w:eastAsia="Times New Roman" w:cs="Times New Roman"/>
          <w:lang w:eastAsia="hr-HR"/>
        </w:rPr>
        <w:t>prihod od komunalne naknade : 23.179,95  EUR</w:t>
      </w:r>
    </w:p>
    <w:bookmarkEnd w:id="1"/>
    <w:p w14:paraId="1486C9F8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color w:val="EE0000"/>
          <w:lang w:eastAsia="hr-HR"/>
        </w:rPr>
      </w:pPr>
      <w:r>
        <w:rPr>
          <w:rFonts w:ascii="Times New Roman" w:hAnsi="Times New Roman" w:eastAsia="Times New Roman" w:cs="Times New Roman"/>
          <w:color w:val="EE0000"/>
          <w:lang w:eastAsia="hr-HR"/>
        </w:rPr>
        <w:t xml:space="preserve">     </w:t>
      </w:r>
    </w:p>
    <w:p w14:paraId="6FA86F13">
      <w:pPr>
        <w:numPr>
          <w:ilvl w:val="0"/>
          <w:numId w:val="6"/>
        </w:numPr>
        <w:tabs>
          <w:tab w:val="left" w:pos="644"/>
        </w:tabs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b/>
          <w:bCs/>
          <w:lang w:eastAsia="hr-HR"/>
        </w:rPr>
      </w:pPr>
      <w:r>
        <w:rPr>
          <w:rFonts w:ascii="Times New Roman" w:hAnsi="Times New Roman" w:eastAsia="Times New Roman" w:cs="Times New Roman"/>
          <w:b/>
          <w:bCs/>
          <w:lang w:eastAsia="hr-HR"/>
        </w:rPr>
        <w:t xml:space="preserve">Održavanje javne rasvjete </w:t>
      </w:r>
    </w:p>
    <w:p w14:paraId="11FEF767">
      <w:pPr>
        <w:tabs>
          <w:tab w:val="left" w:pos="1778"/>
        </w:tabs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planirano: 84.800,00 EUR – ostvareno: 58.424,67 EUR – indeks 68,90</w:t>
      </w:r>
    </w:p>
    <w:p w14:paraId="20DD1415">
      <w:pPr>
        <w:tabs>
          <w:tab w:val="left" w:pos="1778"/>
        </w:tabs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lang w:eastAsia="hr-HR"/>
        </w:rPr>
      </w:pPr>
    </w:p>
    <w:p w14:paraId="3CCB9630">
      <w:pPr>
        <w:tabs>
          <w:tab w:val="left" w:pos="1778"/>
        </w:tabs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Razlog izmjene: Do odstupanja dolazi jer su troškovi usluge postavljanja i skidanja novogodišnje rasvjete fakturirani u 2026. godini. </w:t>
      </w:r>
    </w:p>
    <w:p w14:paraId="7D65E8C1">
      <w:pPr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lang w:eastAsia="hr-HR"/>
        </w:rPr>
      </w:pPr>
    </w:p>
    <w:p w14:paraId="499F391C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b/>
          <w:bCs/>
          <w:lang w:eastAsia="hr-HR"/>
        </w:rPr>
      </w:pPr>
      <w:r>
        <w:rPr>
          <w:rFonts w:ascii="Times New Roman" w:hAnsi="Times New Roman" w:eastAsia="Times New Roman" w:cs="Times New Roman"/>
          <w:b/>
          <w:bCs/>
          <w:lang w:eastAsia="hr-HR"/>
        </w:rPr>
        <w:t xml:space="preserve">Izvor financiranja: </w:t>
      </w:r>
    </w:p>
    <w:p w14:paraId="2285D132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- opći prihodi i primici:  38.424,67  EUR  </w:t>
      </w:r>
    </w:p>
    <w:p w14:paraId="7C5ED0E4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 xml:space="preserve">-komunalna naknada: 20.000,00 EUR  </w:t>
      </w:r>
    </w:p>
    <w:p w14:paraId="5C80C658">
      <w:pPr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color w:val="EE0000"/>
          <w:lang w:eastAsia="hr-HR"/>
        </w:rPr>
      </w:pPr>
    </w:p>
    <w:p w14:paraId="6EEB3F18">
      <w:pPr>
        <w:numPr>
          <w:ilvl w:val="0"/>
          <w:numId w:val="6"/>
        </w:numPr>
        <w:tabs>
          <w:tab w:val="left" w:pos="644"/>
        </w:tabs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b/>
          <w:bCs/>
          <w:lang w:eastAsia="hr-HR"/>
        </w:rPr>
      </w:pPr>
      <w:r>
        <w:rPr>
          <w:rFonts w:ascii="Times New Roman" w:hAnsi="Times New Roman" w:eastAsia="Times New Roman" w:cs="Times New Roman"/>
          <w:b/>
          <w:bCs/>
          <w:lang w:eastAsia="hr-HR"/>
        </w:rPr>
        <w:t>Održavanje groblja</w:t>
      </w:r>
      <w:r>
        <w:rPr>
          <w:rFonts w:ascii="Times New Roman" w:hAnsi="Times New Roman" w:eastAsia="Times New Roman" w:cs="Times New Roman"/>
          <w:b/>
          <w:bCs/>
          <w:lang w:eastAsia="hr-HR"/>
        </w:rPr>
        <w:tab/>
      </w:r>
      <w:r>
        <w:rPr>
          <w:rFonts w:ascii="Times New Roman" w:hAnsi="Times New Roman" w:eastAsia="Times New Roman" w:cs="Times New Roman"/>
          <w:b/>
          <w:bCs/>
          <w:lang w:eastAsia="hr-HR"/>
        </w:rPr>
        <w:tab/>
      </w:r>
      <w:r>
        <w:rPr>
          <w:rFonts w:ascii="Times New Roman" w:hAnsi="Times New Roman" w:eastAsia="Times New Roman" w:cs="Times New Roman"/>
          <w:b/>
          <w:bCs/>
          <w:lang w:eastAsia="hr-HR"/>
        </w:rPr>
        <w:tab/>
      </w:r>
      <w:r>
        <w:rPr>
          <w:rFonts w:ascii="Times New Roman" w:hAnsi="Times New Roman" w:eastAsia="Times New Roman" w:cs="Times New Roman"/>
          <w:b/>
          <w:bCs/>
          <w:lang w:eastAsia="hr-HR"/>
        </w:rPr>
        <w:tab/>
      </w:r>
      <w:r>
        <w:rPr>
          <w:rFonts w:ascii="Times New Roman" w:hAnsi="Times New Roman" w:eastAsia="Times New Roman" w:cs="Times New Roman"/>
          <w:b/>
          <w:bCs/>
          <w:lang w:eastAsia="hr-HR"/>
        </w:rPr>
        <w:tab/>
      </w:r>
      <w:r>
        <w:rPr>
          <w:rFonts w:ascii="Times New Roman" w:hAnsi="Times New Roman" w:eastAsia="Times New Roman" w:cs="Times New Roman"/>
          <w:b/>
          <w:bCs/>
          <w:lang w:eastAsia="hr-HR"/>
        </w:rPr>
        <w:t xml:space="preserve">            </w:t>
      </w:r>
    </w:p>
    <w:p w14:paraId="53460033">
      <w:pPr>
        <w:tabs>
          <w:tab w:val="left" w:pos="1778"/>
        </w:tabs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Planirano:  131.600,00 EUR – ostvareno: 124.976,98 EUR – indeks 94,97</w:t>
      </w:r>
    </w:p>
    <w:p w14:paraId="3F828363">
      <w:pPr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lang w:eastAsia="hr-HR"/>
        </w:rPr>
      </w:pPr>
    </w:p>
    <w:p w14:paraId="0CF74529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b/>
          <w:bCs/>
          <w:lang w:eastAsia="hr-HR"/>
        </w:rPr>
      </w:pPr>
      <w:r>
        <w:rPr>
          <w:rFonts w:ascii="Times New Roman" w:hAnsi="Times New Roman" w:eastAsia="Times New Roman" w:cs="Times New Roman"/>
          <w:b/>
          <w:bCs/>
          <w:lang w:eastAsia="hr-HR"/>
        </w:rPr>
        <w:t xml:space="preserve">Izvor financiranja: </w:t>
      </w:r>
    </w:p>
    <w:p w14:paraId="16DC6E5A">
      <w:pPr>
        <w:pStyle w:val="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komunalna naknada: 10.000,00 EUR</w:t>
      </w:r>
    </w:p>
    <w:p w14:paraId="0524E15B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bookmarkStart w:id="2" w:name="_Hlk121313447"/>
      <w:r>
        <w:rPr>
          <w:rFonts w:ascii="Times New Roman" w:hAnsi="Times New Roman" w:eastAsia="Times New Roman" w:cs="Times New Roman"/>
          <w:lang w:eastAsia="hr-HR"/>
        </w:rPr>
        <w:t>prihod od grobne naknade: 69.578,94 EUR</w:t>
      </w:r>
    </w:p>
    <w:p w14:paraId="72E6210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opći prihodi i primici: 45.398,04 EUR.</w:t>
      </w:r>
      <w:bookmarkEnd w:id="2"/>
    </w:p>
    <w:p w14:paraId="0773D351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color w:val="EE0000"/>
          <w:lang w:eastAsia="hr-HR"/>
        </w:rPr>
      </w:pPr>
    </w:p>
    <w:p w14:paraId="763911F1">
      <w:pPr>
        <w:numPr>
          <w:ilvl w:val="0"/>
          <w:numId w:val="6"/>
        </w:numPr>
        <w:tabs>
          <w:tab w:val="left" w:pos="644"/>
        </w:tabs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b/>
          <w:bCs/>
          <w:lang w:eastAsia="hr-HR"/>
        </w:rPr>
      </w:pPr>
      <w:r>
        <w:rPr>
          <w:rFonts w:ascii="Times New Roman" w:hAnsi="Times New Roman" w:eastAsia="Times New Roman" w:cs="Times New Roman"/>
          <w:b/>
          <w:bCs/>
          <w:lang w:eastAsia="hr-HR"/>
        </w:rPr>
        <w:t>Održavanje reciklažnog dvorišta</w:t>
      </w:r>
      <w:r>
        <w:rPr>
          <w:rFonts w:ascii="Times New Roman" w:hAnsi="Times New Roman" w:eastAsia="Times New Roman" w:cs="Times New Roman"/>
          <w:b/>
          <w:bCs/>
          <w:lang w:eastAsia="hr-HR"/>
        </w:rPr>
        <w:tab/>
      </w:r>
      <w:r>
        <w:rPr>
          <w:rFonts w:ascii="Times New Roman" w:hAnsi="Times New Roman" w:eastAsia="Times New Roman" w:cs="Times New Roman"/>
          <w:b/>
          <w:bCs/>
          <w:lang w:eastAsia="hr-HR"/>
        </w:rPr>
        <w:tab/>
      </w:r>
      <w:r>
        <w:rPr>
          <w:rFonts w:ascii="Times New Roman" w:hAnsi="Times New Roman" w:eastAsia="Times New Roman" w:cs="Times New Roman"/>
          <w:b/>
          <w:bCs/>
          <w:lang w:eastAsia="hr-HR"/>
        </w:rPr>
        <w:tab/>
      </w:r>
      <w:r>
        <w:rPr>
          <w:rFonts w:ascii="Times New Roman" w:hAnsi="Times New Roman" w:eastAsia="Times New Roman" w:cs="Times New Roman"/>
          <w:b/>
          <w:bCs/>
          <w:lang w:eastAsia="hr-HR"/>
        </w:rPr>
        <w:tab/>
      </w:r>
      <w:r>
        <w:rPr>
          <w:rFonts w:ascii="Times New Roman" w:hAnsi="Times New Roman" w:eastAsia="Times New Roman" w:cs="Times New Roman"/>
          <w:b/>
          <w:bCs/>
          <w:lang w:eastAsia="hr-HR"/>
        </w:rPr>
        <w:tab/>
      </w:r>
      <w:r>
        <w:rPr>
          <w:rFonts w:ascii="Times New Roman" w:hAnsi="Times New Roman" w:eastAsia="Times New Roman" w:cs="Times New Roman"/>
          <w:b/>
          <w:bCs/>
          <w:lang w:eastAsia="hr-HR"/>
        </w:rPr>
        <w:t xml:space="preserve">            </w:t>
      </w:r>
    </w:p>
    <w:p w14:paraId="06724403">
      <w:pPr>
        <w:tabs>
          <w:tab w:val="left" w:pos="1778"/>
        </w:tabs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Planirano:  3.000,00 EUR – ostvareno: 2.469,54 EUR – indeks 82,32</w:t>
      </w:r>
    </w:p>
    <w:p w14:paraId="68A7EB7F">
      <w:pPr>
        <w:spacing w:after="0" w:line="240" w:lineRule="auto"/>
        <w:ind w:left="644"/>
        <w:jc w:val="both"/>
        <w:rPr>
          <w:rFonts w:ascii="Times New Roman" w:hAnsi="Times New Roman" w:eastAsia="Times New Roman" w:cs="Times New Roman"/>
          <w:lang w:eastAsia="hr-HR"/>
        </w:rPr>
      </w:pPr>
    </w:p>
    <w:p w14:paraId="0D026120">
      <w:pPr>
        <w:spacing w:after="0" w:line="240" w:lineRule="auto"/>
        <w:ind w:left="641"/>
        <w:contextualSpacing/>
        <w:jc w:val="both"/>
        <w:rPr>
          <w:rFonts w:ascii="Times New Roman" w:hAnsi="Times New Roman" w:eastAsia="Times New Roman" w:cs="Times New Roman"/>
          <w:b/>
          <w:bCs/>
          <w:lang w:eastAsia="hr-HR"/>
        </w:rPr>
      </w:pPr>
      <w:r>
        <w:rPr>
          <w:rFonts w:ascii="Times New Roman" w:hAnsi="Times New Roman" w:eastAsia="Times New Roman" w:cs="Times New Roman"/>
          <w:b/>
          <w:bCs/>
          <w:lang w:eastAsia="hr-HR"/>
        </w:rPr>
        <w:t xml:space="preserve">Izvor financiranja: </w:t>
      </w:r>
    </w:p>
    <w:p w14:paraId="26EC377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  <w:lang w:eastAsia="hr-HR"/>
        </w:rPr>
        <w:t>opći prihodi i primici: 2.469,54 EUR.</w:t>
      </w:r>
    </w:p>
    <w:p w14:paraId="36CD946D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</w:p>
    <w:p w14:paraId="735DF2D0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</w:p>
    <w:p w14:paraId="5F60D443">
      <w:pPr>
        <w:spacing w:after="0" w:line="240" w:lineRule="auto"/>
        <w:ind w:left="708"/>
        <w:jc w:val="both"/>
        <w:rPr>
          <w:rFonts w:ascii="Times New Roman" w:hAnsi="Times New Roman" w:eastAsia="Times New Roman"/>
          <w:lang w:eastAsia="hr-HR"/>
        </w:rPr>
      </w:pPr>
    </w:p>
    <w:p w14:paraId="678A3FCC">
      <w:pPr>
        <w:spacing w:after="0" w:line="240" w:lineRule="auto"/>
        <w:jc w:val="both"/>
        <w:rPr>
          <w:rFonts w:ascii="Times New Roman" w:hAnsi="Times New Roman" w:eastAsia="Calibri" w:cs="Times New Roman"/>
          <w:lang w:eastAsia="hr-HR"/>
        </w:rPr>
      </w:pPr>
    </w:p>
    <w:p w14:paraId="3DBE5AA3">
      <w:pPr>
        <w:spacing w:after="0" w:line="240" w:lineRule="auto"/>
        <w:jc w:val="both"/>
        <w:rPr>
          <w:rFonts w:ascii="Times New Roman" w:hAnsi="Times New Roman" w:eastAsia="Calibri" w:cs="Times New Roman"/>
          <w:lang w:eastAsia="hr-HR"/>
        </w:rPr>
      </w:pPr>
    </w:p>
    <w:p w14:paraId="4AA7FDC6">
      <w:pPr>
        <w:spacing w:after="0" w:line="240" w:lineRule="auto"/>
        <w:jc w:val="both"/>
        <w:rPr>
          <w:rFonts w:ascii="Times New Roman" w:hAnsi="Times New Roman" w:eastAsia="Calibri" w:cs="Times New Roman"/>
          <w:lang w:eastAsia="hr-HR"/>
        </w:rPr>
      </w:pPr>
      <w:r>
        <w:rPr>
          <w:rFonts w:ascii="Times New Roman" w:hAnsi="Times New Roman" w:eastAsia="Calibri" w:cs="Times New Roman"/>
          <w:lang w:eastAsia="hr-HR"/>
        </w:rPr>
        <w:tab/>
      </w:r>
      <w:r>
        <w:rPr>
          <w:rFonts w:ascii="Times New Roman" w:hAnsi="Times New Roman" w:eastAsia="Calibri" w:cs="Times New Roman"/>
          <w:lang w:eastAsia="hr-HR"/>
        </w:rPr>
        <w:tab/>
      </w:r>
      <w:r>
        <w:rPr>
          <w:rFonts w:ascii="Times New Roman" w:hAnsi="Times New Roman" w:eastAsia="Calibri" w:cs="Times New Roman"/>
          <w:lang w:eastAsia="hr-HR"/>
        </w:rPr>
        <w:tab/>
      </w:r>
      <w:r>
        <w:rPr>
          <w:rFonts w:ascii="Times New Roman" w:hAnsi="Times New Roman" w:eastAsia="Calibri" w:cs="Times New Roman"/>
          <w:lang w:eastAsia="hr-HR"/>
        </w:rPr>
        <w:tab/>
      </w:r>
      <w:r>
        <w:rPr>
          <w:rFonts w:ascii="Times New Roman" w:hAnsi="Times New Roman" w:eastAsia="Calibri" w:cs="Times New Roman"/>
          <w:lang w:eastAsia="hr-HR"/>
        </w:rPr>
        <w:tab/>
      </w:r>
      <w:r>
        <w:rPr>
          <w:rFonts w:ascii="Times New Roman" w:hAnsi="Times New Roman" w:eastAsia="Calibri" w:cs="Times New Roman"/>
          <w:lang w:eastAsia="hr-HR"/>
        </w:rPr>
        <w:tab/>
      </w:r>
    </w:p>
    <w:p w14:paraId="47E8F680">
      <w:pPr>
        <w:spacing w:after="0" w:line="240" w:lineRule="auto"/>
        <w:jc w:val="both"/>
        <w:rPr>
          <w:rFonts w:ascii="Times New Roman" w:hAnsi="Times New Roman" w:eastAsia="Calibri" w:cs="Times New Roman"/>
          <w:lang w:eastAsia="hr-HR"/>
        </w:rPr>
      </w:pPr>
    </w:p>
    <w:p w14:paraId="370BEB67">
      <w:pPr>
        <w:spacing w:after="0" w:line="240" w:lineRule="auto"/>
        <w:jc w:val="both"/>
        <w:rPr>
          <w:rFonts w:ascii="Times New Roman" w:hAnsi="Times New Roman" w:eastAsia="Calibri" w:cs="Times New Roman"/>
          <w:lang w:eastAsia="hr-HR"/>
        </w:rPr>
      </w:pPr>
    </w:p>
    <w:p w14:paraId="020D9224">
      <w:pPr>
        <w:spacing w:after="0" w:line="240" w:lineRule="auto"/>
        <w:jc w:val="both"/>
        <w:rPr>
          <w:rFonts w:ascii="Times New Roman" w:hAnsi="Times New Roman" w:eastAsia="Calibri" w:cs="Times New Roman"/>
          <w:lang w:eastAsia="hr-HR"/>
        </w:rPr>
      </w:pPr>
    </w:p>
    <w:p w14:paraId="29BF779D">
      <w:pPr>
        <w:spacing w:after="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IV</w:t>
      </w:r>
    </w:p>
    <w:p w14:paraId="315C7DFB">
      <w:pPr>
        <w:spacing w:after="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Programom raspodjele sredstava za javne potrebe  u društvenim djelatnostima bile su planirane i ostvarene sljedeće aktivnosti:</w:t>
      </w:r>
    </w:p>
    <w:tbl>
      <w:tblPr>
        <w:tblStyle w:val="3"/>
        <w:tblW w:w="94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103"/>
        <w:gridCol w:w="1701"/>
        <w:gridCol w:w="1559"/>
        <w:gridCol w:w="142"/>
      </w:tblGrid>
      <w:tr w14:paraId="0D6E7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73" w:hRule="atLeast"/>
        </w:trPr>
        <w:tc>
          <w:tcPr>
            <w:tcW w:w="959" w:type="dxa"/>
            <w:vAlign w:val="center"/>
          </w:tcPr>
          <w:p w14:paraId="4459C5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>Redni broj:</w:t>
            </w:r>
          </w:p>
        </w:tc>
        <w:tc>
          <w:tcPr>
            <w:tcW w:w="5103" w:type="dxa"/>
            <w:vAlign w:val="center"/>
          </w:tcPr>
          <w:p w14:paraId="430045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>Naziv programa:</w:t>
            </w:r>
          </w:p>
        </w:tc>
        <w:tc>
          <w:tcPr>
            <w:tcW w:w="1701" w:type="dxa"/>
            <w:vAlign w:val="center"/>
          </w:tcPr>
          <w:p w14:paraId="7C724611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    Planirano:</w:t>
            </w:r>
          </w:p>
        </w:tc>
        <w:tc>
          <w:tcPr>
            <w:tcW w:w="1559" w:type="dxa"/>
            <w:vAlign w:val="center"/>
          </w:tcPr>
          <w:p w14:paraId="46F70458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 Ostvareno</w:t>
            </w:r>
          </w:p>
        </w:tc>
      </w:tr>
      <w:tr w14:paraId="6B10E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123" w:hRule="atLeast"/>
        </w:trPr>
        <w:tc>
          <w:tcPr>
            <w:tcW w:w="959" w:type="dxa"/>
          </w:tcPr>
          <w:p w14:paraId="628CC37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03" w:type="dxa"/>
          </w:tcPr>
          <w:p w14:paraId="4D349276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JAVNE POTREBE U KULTURI                                                                       </w:t>
            </w:r>
          </w:p>
          <w:p w14:paraId="74E3A2F6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BEFBF5C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svi oblici promicanja glazbenog, plesnog,                                   kulturnog i umjetničkog stvaralaštva, poticanje i njegovanje tradicijske kulture, razvitka kulturno </w:t>
            </w:r>
          </w:p>
          <w:p w14:paraId="178D2057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umjetničkog, glazbenog i plesnog amaterizma te manifestacija na ovom području  koji  pridonose zaštiti i </w:t>
            </w:r>
            <w:r>
              <w:rPr>
                <w:rFonts w:ascii="Times New Roman" w:hAnsi="Times New Roman" w:eastAsia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očuvanju kulturne baštine,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razvitku i promicanju kulturnog života te </w:t>
            </w:r>
            <w:r>
              <w:rPr>
                <w:rFonts w:ascii="Times New Roman" w:hAnsi="Times New Roman" w:eastAsia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razvijanju svijesti o važnosti tradicije,uključivanjem  što većeg broja ljudi, posebno djece i mladih,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>promociji Općine, međuopćinska, međužupanijska i međunarodna kulturna suradnja, postizanje natprosječnih rezultata udruga u oblasti djelovanja, kapitalna ulaganja u objekte kulture i investicijsko održavanje</w:t>
            </w:r>
          </w:p>
          <w:p w14:paraId="1C1E5D02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</w:p>
          <w:p w14:paraId="53E2E06E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</w:tcPr>
          <w:p w14:paraId="41C8B979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  46.000,00               </w:t>
            </w:r>
          </w:p>
        </w:tc>
        <w:tc>
          <w:tcPr>
            <w:tcW w:w="1559" w:type="dxa"/>
          </w:tcPr>
          <w:p w14:paraId="4C8024CF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  44.303,51 </w:t>
            </w:r>
          </w:p>
        </w:tc>
      </w:tr>
      <w:tr w14:paraId="3650E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2B34A8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eastAsia="Calibri" w:cs="Times New Roman"/>
                <w:lang w:eastAsia="hr-HR"/>
              </w:rPr>
            </w:pPr>
          </w:p>
        </w:tc>
        <w:tc>
          <w:tcPr>
            <w:tcW w:w="5103" w:type="dxa"/>
          </w:tcPr>
          <w:p w14:paraId="333F6F3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 xml:space="preserve">JAVNE POTREBE U SPORTU </w:t>
            </w:r>
          </w:p>
          <w:p w14:paraId="239A7E1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eastAsia="Calibri" w:cs="Times New Roman"/>
                <w:lang w:eastAsia="hr-HR"/>
              </w:rPr>
            </w:pPr>
          </w:p>
          <w:p w14:paraId="78E3A1B9">
            <w:pPr>
              <w:autoSpaceDE w:val="0"/>
              <w:autoSpaceDN w:val="0"/>
              <w:adjustRightInd w:val="0"/>
              <w:spacing w:after="0"/>
              <w:ind w:firstLine="34"/>
              <w:contextualSpacing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 xml:space="preserve">programi Sportske zajednice i udruga čije se djelovanje temelji na  sportsko-rekreacijskoj, zdravstveno socijalnoj i sl. djelatnosti a nisu uključene u Sportsku zajednicu, kojima se potiče uključivanje u sport što većeg broja građana, osobito djece i mladeži, treninge, natjecateljski i  rekreacijski sport, te druge sportske aktivnosti koje su u funkciji unapređenja i čuvanja zdravlja i postizanja psihofizičke sposobnosti građana,  aktivnosti mlađih sportaša i nadarenih sportaša, programi kapitalnih ulaganja u sportu, investicijsko održavanje, materijalni rashodi, opremanje sportskih objekata </w:t>
            </w:r>
          </w:p>
          <w:p w14:paraId="4FC03BF4">
            <w:pPr>
              <w:autoSpaceDE w:val="0"/>
              <w:autoSpaceDN w:val="0"/>
              <w:adjustRightInd w:val="0"/>
              <w:spacing w:after="0"/>
              <w:ind w:firstLine="34"/>
              <w:contextualSpacing/>
              <w:rPr>
                <w:rFonts w:ascii="Times New Roman" w:hAnsi="Times New Roman" w:eastAsia="Calibri" w:cs="Times New Roman"/>
                <w:lang w:eastAsia="hr-HR"/>
              </w:rPr>
            </w:pPr>
          </w:p>
        </w:tc>
        <w:tc>
          <w:tcPr>
            <w:tcW w:w="1701" w:type="dxa"/>
          </w:tcPr>
          <w:p w14:paraId="1CC8E253">
            <w:pPr>
              <w:spacing w:after="0" w:line="240" w:lineRule="auto"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>179.500,00</w:t>
            </w:r>
          </w:p>
        </w:tc>
        <w:tc>
          <w:tcPr>
            <w:tcW w:w="1701" w:type="dxa"/>
            <w:gridSpan w:val="2"/>
          </w:tcPr>
          <w:p w14:paraId="619F4618">
            <w:pPr>
              <w:spacing w:after="0" w:line="240" w:lineRule="auto"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 xml:space="preserve">  165.371,37</w:t>
            </w:r>
          </w:p>
        </w:tc>
      </w:tr>
      <w:tr w14:paraId="4A713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959" w:type="dxa"/>
          </w:tcPr>
          <w:p w14:paraId="598F8AED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03" w:type="dxa"/>
          </w:tcPr>
          <w:p w14:paraId="72D19EA8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JAVNE POTREBE U SOCIJALNOJ SKRBI                               </w:t>
            </w:r>
          </w:p>
          <w:p w14:paraId="6EC076D5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</w:p>
          <w:p w14:paraId="689BC77B">
            <w:pPr>
              <w:spacing w:after="0"/>
              <w:ind w:left="34"/>
              <w:contextualSpacing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>redovna djelatnost Crvenog križa, pomoć Osobama s posebnim potrebama, zaštita i skrb o starijim osobama, pomoć braniteljima, obiteljima poginulih i nestalih, briga i skrb o djeci – promicanje, razvitak i unapređenje kvalitete života i slobodnog vremena djece, socijalna prava ( potpore za novorođene, darovi za Sv. Nikolu, učeničke i studentske stipendije, sufinanciranje prijevoza učenika  i studenata, ), ostale pomoći obiteljima i kućanstvima po posebnim propisima</w:t>
            </w:r>
          </w:p>
        </w:tc>
        <w:tc>
          <w:tcPr>
            <w:tcW w:w="1701" w:type="dxa"/>
          </w:tcPr>
          <w:p w14:paraId="3B40AE7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     121.000,00</w:t>
            </w:r>
          </w:p>
        </w:tc>
        <w:tc>
          <w:tcPr>
            <w:tcW w:w="1559" w:type="dxa"/>
          </w:tcPr>
          <w:p w14:paraId="3B731EC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hr-HR"/>
                <w14:textFill>
                  <w14:solidFill>
                    <w14:schemeClr w14:val="tx1"/>
                  </w14:solidFill>
                </w14:textFill>
              </w:rPr>
              <w:t xml:space="preserve">106.334,00 </w:t>
            </w:r>
          </w:p>
        </w:tc>
      </w:tr>
      <w:tr w14:paraId="2E99D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959" w:type="dxa"/>
          </w:tcPr>
          <w:p w14:paraId="74739636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eastAsia="Calibri" w:cs="Times New Roman"/>
                <w:lang w:eastAsia="hr-HR"/>
              </w:rPr>
            </w:pPr>
          </w:p>
        </w:tc>
        <w:tc>
          <w:tcPr>
            <w:tcW w:w="5103" w:type="dxa"/>
          </w:tcPr>
          <w:p w14:paraId="115685F0">
            <w:pPr>
              <w:spacing w:after="0"/>
              <w:ind w:firstLine="34"/>
              <w:contextualSpacing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 xml:space="preserve">PROGRAMI, PROJEKTI I MANIFESTACIJE                                                           </w:t>
            </w:r>
          </w:p>
          <w:p w14:paraId="3F5D0674">
            <w:pPr>
              <w:spacing w:after="0"/>
              <w:ind w:firstLine="34"/>
              <w:contextualSpacing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>koje pridonose obilježavanju, očuvanju  i promicanju povijesnih vrednota hrvatskog naroda, projekti koji pridonose psihološkom i socijalnom  osnaživanju i podizanju kvalitete života hrvatskih</w:t>
            </w:r>
          </w:p>
          <w:p w14:paraId="6ECD67CE">
            <w:pPr>
              <w:spacing w:after="0" w:line="240" w:lineRule="auto"/>
              <w:ind w:firstLine="34"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>branitelja i članova njihovih obitelji</w:t>
            </w:r>
          </w:p>
          <w:p w14:paraId="5914379B">
            <w:pPr>
              <w:spacing w:after="0" w:line="240" w:lineRule="auto"/>
              <w:ind w:firstLine="34"/>
              <w:rPr>
                <w:rFonts w:ascii="Times New Roman" w:hAnsi="Times New Roman" w:eastAsia="Calibri" w:cs="Times New Roman"/>
                <w:lang w:eastAsia="hr-HR"/>
              </w:rPr>
            </w:pPr>
          </w:p>
        </w:tc>
        <w:tc>
          <w:tcPr>
            <w:tcW w:w="1701" w:type="dxa"/>
          </w:tcPr>
          <w:p w14:paraId="77A6133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 xml:space="preserve">    1.500,00</w:t>
            </w:r>
          </w:p>
        </w:tc>
        <w:tc>
          <w:tcPr>
            <w:tcW w:w="1559" w:type="dxa"/>
          </w:tcPr>
          <w:p w14:paraId="393B2F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 xml:space="preserve">900,00 </w:t>
            </w:r>
          </w:p>
        </w:tc>
      </w:tr>
      <w:tr w14:paraId="4C10D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</w:trPr>
        <w:tc>
          <w:tcPr>
            <w:tcW w:w="959" w:type="dxa"/>
          </w:tcPr>
          <w:p w14:paraId="5EAC224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eastAsia="Calibri" w:cs="Times New Roman"/>
                <w:lang w:eastAsia="hr-HR"/>
              </w:rPr>
            </w:pPr>
          </w:p>
        </w:tc>
        <w:tc>
          <w:tcPr>
            <w:tcW w:w="5103" w:type="dxa"/>
          </w:tcPr>
          <w:p w14:paraId="0CAC64A7">
            <w:pPr>
              <w:spacing w:after="0"/>
              <w:ind w:firstLine="34"/>
              <w:contextualSpacing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 xml:space="preserve">ODRŽAVANJE EDUKATIVNIH RADIONICA,                                                            </w:t>
            </w:r>
          </w:p>
          <w:p w14:paraId="4C9E0022">
            <w:pPr>
              <w:spacing w:after="0"/>
              <w:ind w:firstLine="34"/>
              <w:contextualSpacing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>stručnih skupova i predavanja te manifestacija koje pridonose unapređenju i razvoju poljoprivrede</w:t>
            </w:r>
          </w:p>
        </w:tc>
        <w:tc>
          <w:tcPr>
            <w:tcW w:w="1701" w:type="dxa"/>
          </w:tcPr>
          <w:p w14:paraId="6477EB4C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 xml:space="preserve">     1.500,00 </w:t>
            </w:r>
          </w:p>
        </w:tc>
        <w:tc>
          <w:tcPr>
            <w:tcW w:w="1559" w:type="dxa"/>
          </w:tcPr>
          <w:p w14:paraId="678A9F5E">
            <w:pPr>
              <w:spacing w:after="0" w:line="240" w:lineRule="auto"/>
              <w:rPr>
                <w:rFonts w:ascii="Times New Roman" w:hAnsi="Times New Roman" w:eastAsia="Calibri" w:cs="Times New Roman"/>
                <w:lang w:eastAsia="hr-HR"/>
              </w:rPr>
            </w:pPr>
            <w:r>
              <w:rPr>
                <w:rFonts w:ascii="Times New Roman" w:hAnsi="Times New Roman" w:eastAsia="Calibri" w:cs="Times New Roman"/>
                <w:lang w:eastAsia="hr-HR"/>
              </w:rPr>
              <w:t xml:space="preserve">   0,00 </w:t>
            </w:r>
          </w:p>
        </w:tc>
      </w:tr>
    </w:tbl>
    <w:p w14:paraId="0F098B7F">
      <w:pPr>
        <w:spacing w:after="0" w:line="240" w:lineRule="auto"/>
        <w:jc w:val="center"/>
        <w:rPr>
          <w:rFonts w:ascii="Times New Roman" w:hAnsi="Times New Roman" w:eastAsia="Calibri" w:cs="Times New Roman"/>
          <w:lang w:eastAsia="hr-HR"/>
        </w:rPr>
      </w:pPr>
      <w:r>
        <w:rPr>
          <w:rFonts w:ascii="Times New Roman" w:hAnsi="Times New Roman" w:eastAsia="Times New Roman" w:cs="Times New Roman"/>
          <w:b/>
        </w:rPr>
        <w:t>V</w:t>
      </w:r>
    </w:p>
    <w:p w14:paraId="7C393D28">
      <w:pPr>
        <w:spacing w:after="0" w:line="240" w:lineRule="auto"/>
        <w:ind w:firstLine="708"/>
        <w:contextualSpacing/>
        <w:jc w:val="both"/>
        <w:rPr>
          <w:rFonts w:ascii="Times New Roman" w:hAnsi="Times New Roman" w:eastAsia="Times New Roman" w:cs="Times New Roman"/>
          <w:lang w:eastAsia="hr-HR"/>
        </w:rPr>
      </w:pPr>
      <w:r>
        <w:rPr>
          <w:rFonts w:ascii="Times New Roman" w:hAnsi="Times New Roman" w:eastAsia="Times New Roman" w:cs="Times New Roman"/>
        </w:rPr>
        <w:t>Programom utroška sredstava od prodaje stanova na kojima postoji stanarsko pravo planirano je i ostvareno:</w:t>
      </w:r>
    </w:p>
    <w:p w14:paraId="3AEC2650">
      <w:pPr>
        <w:spacing w:before="120"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Godišnje zaduženje /eur     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410"/>
      </w:tblGrid>
      <w:tr w14:paraId="4D1EE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18" w:type="dxa"/>
            <w:vAlign w:val="center"/>
          </w:tcPr>
          <w:p w14:paraId="10868B6E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Planirano:    500,00</w:t>
            </w:r>
          </w:p>
        </w:tc>
        <w:tc>
          <w:tcPr>
            <w:tcW w:w="2410" w:type="dxa"/>
            <w:vAlign w:val="center"/>
          </w:tcPr>
          <w:p w14:paraId="149FAF9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</w:rPr>
            </w:pPr>
          </w:p>
        </w:tc>
      </w:tr>
      <w:tr w14:paraId="1F4D6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518" w:type="dxa"/>
            <w:vAlign w:val="center"/>
          </w:tcPr>
          <w:p w14:paraId="36AD672C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Ostvareno:   262,99</w:t>
            </w:r>
          </w:p>
        </w:tc>
        <w:tc>
          <w:tcPr>
            <w:tcW w:w="2410" w:type="dxa"/>
            <w:vAlign w:val="center"/>
          </w:tcPr>
          <w:p w14:paraId="355BD6D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</w:rPr>
            </w:pPr>
          </w:p>
        </w:tc>
      </w:tr>
    </w:tbl>
    <w:p w14:paraId="77689E49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</w:p>
    <w:p w14:paraId="038D5381">
      <w:pPr>
        <w:spacing w:after="0" w:line="240" w:lineRule="auto"/>
        <w:jc w:val="both"/>
        <w:rPr>
          <w:rFonts w:ascii="Times New Roman" w:hAnsi="Times New Roman" w:eastAsia="Times New Roman" w:cs="Times New Roman"/>
        </w:rPr>
      </w:pPr>
    </w:p>
    <w:p w14:paraId="5FC92E70">
      <w:pPr>
        <w:spacing w:after="0" w:line="240" w:lineRule="auto"/>
        <w:jc w:val="center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VI</w:t>
      </w:r>
    </w:p>
    <w:p w14:paraId="44076FD4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Općinskom vijeću predlaže se usvajanje naprijed podnesenog izvješća.</w:t>
      </w:r>
    </w:p>
    <w:p w14:paraId="6C59FC7E">
      <w:pPr>
        <w:spacing w:after="0" w:line="240" w:lineRule="auto"/>
        <w:jc w:val="both"/>
        <w:rPr>
          <w:rFonts w:ascii="Times New Roman" w:hAnsi="Times New Roman" w:eastAsia="Calibri" w:cs="Times New Roman"/>
        </w:rPr>
      </w:pPr>
    </w:p>
    <w:p w14:paraId="53385DDE">
      <w:pPr>
        <w:spacing w:after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          </w:t>
      </w:r>
    </w:p>
    <w:p w14:paraId="3475DD4C">
      <w:pPr>
        <w:spacing w:after="0"/>
        <w:rPr>
          <w:rFonts w:ascii="Times New Roman" w:hAnsi="Times New Roman" w:eastAsia="Times New Roman" w:cs="Times New Roman"/>
        </w:rPr>
      </w:pPr>
    </w:p>
    <w:p w14:paraId="28B789AC">
      <w:pPr>
        <w:spacing w:after="0" w:line="240" w:lineRule="auto"/>
        <w:jc w:val="both"/>
        <w:rPr>
          <w:rFonts w:ascii="Times New Roman" w:hAnsi="Times New Roman" w:eastAsia="Calibri" w:cs="Times New Roman"/>
        </w:rPr>
      </w:pPr>
      <w:r>
        <w:rPr>
          <w:rFonts w:ascii="Calibri" w:hAnsi="Calibri" w:eastAsia="Calibri" w:cs="Times New Roman"/>
        </w:rPr>
        <w:t xml:space="preserve"> </w:t>
      </w:r>
      <w:r>
        <w:rPr>
          <w:rFonts w:ascii="Calibri" w:hAnsi="Calibri" w:eastAsia="Calibri" w:cs="Times New Roman"/>
        </w:rPr>
        <w:tab/>
      </w:r>
      <w:r>
        <w:rPr>
          <w:rFonts w:ascii="Calibri" w:hAnsi="Calibri" w:eastAsia="Calibri" w:cs="Times New Roman"/>
        </w:rPr>
        <w:tab/>
      </w:r>
      <w:r>
        <w:rPr>
          <w:rFonts w:ascii="Calibri" w:hAnsi="Calibri" w:eastAsia="Calibri" w:cs="Times New Roman"/>
        </w:rPr>
        <w:tab/>
      </w:r>
      <w:r>
        <w:rPr>
          <w:rFonts w:ascii="Calibri" w:hAnsi="Calibri" w:eastAsia="Calibri" w:cs="Times New Roman"/>
        </w:rPr>
        <w:tab/>
      </w:r>
      <w:r>
        <w:rPr>
          <w:rFonts w:ascii="Calibri" w:hAnsi="Calibri" w:eastAsia="Calibri" w:cs="Times New Roman"/>
        </w:rPr>
        <w:tab/>
      </w:r>
      <w:r>
        <w:rPr>
          <w:rFonts w:ascii="Calibri" w:hAnsi="Calibri" w:eastAsia="Calibri" w:cs="Times New Roman"/>
        </w:rPr>
        <w:tab/>
      </w:r>
      <w:r>
        <w:rPr>
          <w:rFonts w:ascii="Calibri" w:hAnsi="Calibri" w:eastAsia="Calibri" w:cs="Times New Roman"/>
        </w:rPr>
        <w:tab/>
      </w:r>
      <w:r>
        <w:rPr>
          <w:rFonts w:ascii="Calibri" w:hAnsi="Calibri" w:eastAsia="Calibri" w:cs="Times New Roman"/>
        </w:rPr>
        <w:tab/>
      </w:r>
      <w:r>
        <w:rPr>
          <w:rFonts w:ascii="Times New Roman" w:hAnsi="Times New Roman" w:eastAsia="Calibri" w:cs="Times New Roman"/>
        </w:rPr>
        <w:t>OPĆINSKI NAČELNIK</w:t>
      </w:r>
    </w:p>
    <w:p w14:paraId="242955E4">
      <w:pPr>
        <w:spacing w:after="0" w:line="240" w:lineRule="auto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                                                                                                    </w:t>
      </w:r>
    </w:p>
    <w:p w14:paraId="60D0CD77">
      <w:pPr>
        <w:spacing w:after="0" w:line="240" w:lineRule="auto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 xml:space="preserve"> Robert Greblički </w:t>
      </w:r>
    </w:p>
    <w:p w14:paraId="45672C91"/>
    <w:sectPr>
      <w:headerReference r:id="rId6" w:type="first"/>
      <w:headerReference r:id="rId5" w:type="default"/>
      <w:pgSz w:w="11906" w:h="16838"/>
      <w:pgMar w:top="1417" w:right="1417" w:bottom="993" w:left="1417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2595D">
    <w:pPr>
      <w:pStyle w:val="4"/>
    </w:pPr>
  </w:p>
  <w:p w14:paraId="601AEF91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FF52A">
    <w:pPr>
      <w:pStyle w:val="4"/>
    </w:pPr>
    <w:r>
      <w:rPr>
        <w:lang w:eastAsia="hr-H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634365</wp:posOffset>
          </wp:positionH>
          <wp:positionV relativeFrom="paragraph">
            <wp:posOffset>-230505</wp:posOffset>
          </wp:positionV>
          <wp:extent cx="490855" cy="621030"/>
          <wp:effectExtent l="0" t="0" r="4445" b="762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85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A10868"/>
    <w:multiLevelType w:val="multilevel"/>
    <w:tmpl w:val="23A10868"/>
    <w:lvl w:ilvl="0" w:tentative="0">
      <w:start w:val="4"/>
      <w:numFmt w:val="decimal"/>
      <w:lvlText w:val="%1."/>
      <w:lvlJc w:val="left"/>
      <w:pPr>
        <w:ind w:left="720" w:hanging="360"/>
      </w:pPr>
      <w:rPr>
        <w:rFonts w:hint="default" w:eastAsia="Times New Roman"/>
        <w:b/>
      </w:rPr>
    </w:lvl>
    <w:lvl w:ilvl="1" w:tentative="0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 w:tentative="0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F016E21"/>
    <w:multiLevelType w:val="multilevel"/>
    <w:tmpl w:val="2F016E21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F5932CA"/>
    <w:multiLevelType w:val="multilevel"/>
    <w:tmpl w:val="2F5932CA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717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3">
    <w:nsid w:val="52FD0A79"/>
    <w:multiLevelType w:val="multilevel"/>
    <w:tmpl w:val="52FD0A7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F3BC3"/>
    <w:multiLevelType w:val="multilevel"/>
    <w:tmpl w:val="53EF3BC3"/>
    <w:lvl w:ilvl="0" w:tentative="0">
      <w:start w:val="1"/>
      <w:numFmt w:val="decimal"/>
      <w:lvlText w:val="%1."/>
      <w:lvlJc w:val="left"/>
      <w:pPr>
        <w:ind w:left="785" w:hanging="360"/>
      </w:p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1CF19C7"/>
    <w:multiLevelType w:val="multilevel"/>
    <w:tmpl w:val="61CF19C7"/>
    <w:lvl w:ilvl="0" w:tentative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 w:tentative="0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3E939E3"/>
    <w:multiLevelType w:val="multilevel"/>
    <w:tmpl w:val="63E939E3"/>
    <w:lvl w:ilvl="0" w:tentative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37" w:hanging="360"/>
      </w:pPr>
    </w:lvl>
    <w:lvl w:ilvl="2" w:tentative="0">
      <w:start w:val="1"/>
      <w:numFmt w:val="lowerRoman"/>
      <w:lvlText w:val="%3."/>
      <w:lvlJc w:val="right"/>
      <w:pPr>
        <w:ind w:left="2157" w:hanging="180"/>
      </w:pPr>
    </w:lvl>
    <w:lvl w:ilvl="3" w:tentative="0">
      <w:start w:val="1"/>
      <w:numFmt w:val="decimal"/>
      <w:lvlText w:val="%4."/>
      <w:lvlJc w:val="left"/>
      <w:pPr>
        <w:ind w:left="2877" w:hanging="360"/>
      </w:pPr>
    </w:lvl>
    <w:lvl w:ilvl="4" w:tentative="0">
      <w:start w:val="1"/>
      <w:numFmt w:val="lowerLetter"/>
      <w:lvlText w:val="%5."/>
      <w:lvlJc w:val="left"/>
      <w:pPr>
        <w:ind w:left="3597" w:hanging="360"/>
      </w:pPr>
    </w:lvl>
    <w:lvl w:ilvl="5" w:tentative="0">
      <w:start w:val="1"/>
      <w:numFmt w:val="lowerRoman"/>
      <w:lvlText w:val="%6."/>
      <w:lvlJc w:val="right"/>
      <w:pPr>
        <w:ind w:left="4317" w:hanging="180"/>
      </w:pPr>
    </w:lvl>
    <w:lvl w:ilvl="6" w:tentative="0">
      <w:start w:val="1"/>
      <w:numFmt w:val="decimal"/>
      <w:lvlText w:val="%7."/>
      <w:lvlJc w:val="left"/>
      <w:pPr>
        <w:ind w:left="5037" w:hanging="360"/>
      </w:pPr>
    </w:lvl>
    <w:lvl w:ilvl="7" w:tentative="0">
      <w:start w:val="1"/>
      <w:numFmt w:val="lowerLetter"/>
      <w:lvlText w:val="%8."/>
      <w:lvlJc w:val="left"/>
      <w:pPr>
        <w:ind w:left="5757" w:hanging="360"/>
      </w:pPr>
    </w:lvl>
    <w:lvl w:ilvl="8" w:tentative="0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74BE7FD3"/>
    <w:multiLevelType w:val="multilevel"/>
    <w:tmpl w:val="74BE7F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2AD"/>
    <w:rsid w:val="00010798"/>
    <w:rsid w:val="00014B4E"/>
    <w:rsid w:val="00021A00"/>
    <w:rsid w:val="00021A40"/>
    <w:rsid w:val="00023206"/>
    <w:rsid w:val="00023EF4"/>
    <w:rsid w:val="000240C4"/>
    <w:rsid w:val="000258DC"/>
    <w:rsid w:val="00027B27"/>
    <w:rsid w:val="0004435D"/>
    <w:rsid w:val="0005026D"/>
    <w:rsid w:val="00053CDC"/>
    <w:rsid w:val="00060666"/>
    <w:rsid w:val="000666B2"/>
    <w:rsid w:val="00072456"/>
    <w:rsid w:val="00072E9B"/>
    <w:rsid w:val="000760EC"/>
    <w:rsid w:val="000812CE"/>
    <w:rsid w:val="000818E4"/>
    <w:rsid w:val="00085538"/>
    <w:rsid w:val="000A14DD"/>
    <w:rsid w:val="000A545B"/>
    <w:rsid w:val="000B027A"/>
    <w:rsid w:val="000B7876"/>
    <w:rsid w:val="000C173D"/>
    <w:rsid w:val="000C2434"/>
    <w:rsid w:val="000C313B"/>
    <w:rsid w:val="000C3234"/>
    <w:rsid w:val="000C427C"/>
    <w:rsid w:val="000D79E9"/>
    <w:rsid w:val="000E0735"/>
    <w:rsid w:val="000F04C6"/>
    <w:rsid w:val="000F5BD4"/>
    <w:rsid w:val="00107EB5"/>
    <w:rsid w:val="001101DC"/>
    <w:rsid w:val="00127573"/>
    <w:rsid w:val="001563AC"/>
    <w:rsid w:val="001609DE"/>
    <w:rsid w:val="001621E4"/>
    <w:rsid w:val="001665D7"/>
    <w:rsid w:val="001673D9"/>
    <w:rsid w:val="00174766"/>
    <w:rsid w:val="001855CF"/>
    <w:rsid w:val="001859A8"/>
    <w:rsid w:val="001941A9"/>
    <w:rsid w:val="001A0378"/>
    <w:rsid w:val="001A0DE0"/>
    <w:rsid w:val="001A6F2B"/>
    <w:rsid w:val="001B0C78"/>
    <w:rsid w:val="001B1EE1"/>
    <w:rsid w:val="001B5CF7"/>
    <w:rsid w:val="001C46D3"/>
    <w:rsid w:val="001C7874"/>
    <w:rsid w:val="001D7458"/>
    <w:rsid w:val="001E3303"/>
    <w:rsid w:val="0020338C"/>
    <w:rsid w:val="002046BA"/>
    <w:rsid w:val="00206199"/>
    <w:rsid w:val="002157A5"/>
    <w:rsid w:val="002158F3"/>
    <w:rsid w:val="002218B0"/>
    <w:rsid w:val="00223083"/>
    <w:rsid w:val="00223A94"/>
    <w:rsid w:val="00224475"/>
    <w:rsid w:val="00225326"/>
    <w:rsid w:val="00230CE9"/>
    <w:rsid w:val="002316F9"/>
    <w:rsid w:val="00232EE3"/>
    <w:rsid w:val="00237DAC"/>
    <w:rsid w:val="002419F8"/>
    <w:rsid w:val="002420AC"/>
    <w:rsid w:val="00246DFC"/>
    <w:rsid w:val="00247939"/>
    <w:rsid w:val="00247C17"/>
    <w:rsid w:val="00256A93"/>
    <w:rsid w:val="0026183F"/>
    <w:rsid w:val="0026433E"/>
    <w:rsid w:val="00265A8F"/>
    <w:rsid w:val="00266153"/>
    <w:rsid w:val="00267CEA"/>
    <w:rsid w:val="00270616"/>
    <w:rsid w:val="00283D4F"/>
    <w:rsid w:val="002B548C"/>
    <w:rsid w:val="002C1FB7"/>
    <w:rsid w:val="002C3E56"/>
    <w:rsid w:val="002D08BA"/>
    <w:rsid w:val="002D245E"/>
    <w:rsid w:val="002D7204"/>
    <w:rsid w:val="002E256B"/>
    <w:rsid w:val="002E498F"/>
    <w:rsid w:val="002F3705"/>
    <w:rsid w:val="003040BA"/>
    <w:rsid w:val="00310A84"/>
    <w:rsid w:val="00316AF0"/>
    <w:rsid w:val="003302AD"/>
    <w:rsid w:val="00340CE8"/>
    <w:rsid w:val="003435E0"/>
    <w:rsid w:val="003527C7"/>
    <w:rsid w:val="00362D71"/>
    <w:rsid w:val="003640CC"/>
    <w:rsid w:val="00365050"/>
    <w:rsid w:val="003671E1"/>
    <w:rsid w:val="00371C10"/>
    <w:rsid w:val="00375D3B"/>
    <w:rsid w:val="00382B76"/>
    <w:rsid w:val="003A0712"/>
    <w:rsid w:val="003A63C8"/>
    <w:rsid w:val="003B1B5B"/>
    <w:rsid w:val="003B2BD7"/>
    <w:rsid w:val="003B2D54"/>
    <w:rsid w:val="003B49B6"/>
    <w:rsid w:val="003D0353"/>
    <w:rsid w:val="003D4448"/>
    <w:rsid w:val="003F29E6"/>
    <w:rsid w:val="003F43C3"/>
    <w:rsid w:val="003F5BC0"/>
    <w:rsid w:val="003F74A3"/>
    <w:rsid w:val="003F7C45"/>
    <w:rsid w:val="00405A72"/>
    <w:rsid w:val="00407DF3"/>
    <w:rsid w:val="004155DF"/>
    <w:rsid w:val="00421678"/>
    <w:rsid w:val="00422AA6"/>
    <w:rsid w:val="004266D9"/>
    <w:rsid w:val="00426F08"/>
    <w:rsid w:val="00432BAF"/>
    <w:rsid w:val="004446C7"/>
    <w:rsid w:val="004466E2"/>
    <w:rsid w:val="00455AB0"/>
    <w:rsid w:val="00457B6F"/>
    <w:rsid w:val="0046202D"/>
    <w:rsid w:val="00464CA1"/>
    <w:rsid w:val="00464E30"/>
    <w:rsid w:val="00465A8B"/>
    <w:rsid w:val="00471144"/>
    <w:rsid w:val="004715A0"/>
    <w:rsid w:val="00474039"/>
    <w:rsid w:val="004764C4"/>
    <w:rsid w:val="0048320B"/>
    <w:rsid w:val="004845FC"/>
    <w:rsid w:val="00484851"/>
    <w:rsid w:val="00484888"/>
    <w:rsid w:val="00491119"/>
    <w:rsid w:val="004941AA"/>
    <w:rsid w:val="004A7F69"/>
    <w:rsid w:val="004B13AF"/>
    <w:rsid w:val="004C1A86"/>
    <w:rsid w:val="004C38AD"/>
    <w:rsid w:val="004D6934"/>
    <w:rsid w:val="004E0F0C"/>
    <w:rsid w:val="004E2699"/>
    <w:rsid w:val="004E5A88"/>
    <w:rsid w:val="004E7CA7"/>
    <w:rsid w:val="004F0CE8"/>
    <w:rsid w:val="004F15C5"/>
    <w:rsid w:val="00510733"/>
    <w:rsid w:val="005166EF"/>
    <w:rsid w:val="00520714"/>
    <w:rsid w:val="00524D3F"/>
    <w:rsid w:val="005357BA"/>
    <w:rsid w:val="00545E73"/>
    <w:rsid w:val="00561E7D"/>
    <w:rsid w:val="00566934"/>
    <w:rsid w:val="005738AA"/>
    <w:rsid w:val="0058576B"/>
    <w:rsid w:val="005871B4"/>
    <w:rsid w:val="005905D8"/>
    <w:rsid w:val="00590FDB"/>
    <w:rsid w:val="005922CC"/>
    <w:rsid w:val="005931A8"/>
    <w:rsid w:val="005A1A27"/>
    <w:rsid w:val="005A1C8D"/>
    <w:rsid w:val="005A22C9"/>
    <w:rsid w:val="005A498D"/>
    <w:rsid w:val="005C219F"/>
    <w:rsid w:val="005D29D7"/>
    <w:rsid w:val="005D574B"/>
    <w:rsid w:val="005E0490"/>
    <w:rsid w:val="005E1CD4"/>
    <w:rsid w:val="005E1D32"/>
    <w:rsid w:val="005E463D"/>
    <w:rsid w:val="005F5A47"/>
    <w:rsid w:val="005F7A28"/>
    <w:rsid w:val="006055A9"/>
    <w:rsid w:val="00606345"/>
    <w:rsid w:val="00622699"/>
    <w:rsid w:val="0063589A"/>
    <w:rsid w:val="0063628D"/>
    <w:rsid w:val="0063693D"/>
    <w:rsid w:val="00642096"/>
    <w:rsid w:val="00642C0E"/>
    <w:rsid w:val="00644ED8"/>
    <w:rsid w:val="00645BA5"/>
    <w:rsid w:val="00645BD4"/>
    <w:rsid w:val="0064656F"/>
    <w:rsid w:val="006555F6"/>
    <w:rsid w:val="00657BE6"/>
    <w:rsid w:val="006632E6"/>
    <w:rsid w:val="006638AA"/>
    <w:rsid w:val="00671DA2"/>
    <w:rsid w:val="0067677E"/>
    <w:rsid w:val="00677C91"/>
    <w:rsid w:val="00691181"/>
    <w:rsid w:val="00691988"/>
    <w:rsid w:val="00695A91"/>
    <w:rsid w:val="00695AF2"/>
    <w:rsid w:val="0069673D"/>
    <w:rsid w:val="00697ADF"/>
    <w:rsid w:val="006A3F7B"/>
    <w:rsid w:val="006B5B6F"/>
    <w:rsid w:val="006C4B87"/>
    <w:rsid w:val="006C5662"/>
    <w:rsid w:val="006D218D"/>
    <w:rsid w:val="006D2D61"/>
    <w:rsid w:val="006D49E4"/>
    <w:rsid w:val="006E09CD"/>
    <w:rsid w:val="006E482E"/>
    <w:rsid w:val="006E5FAE"/>
    <w:rsid w:val="006F242B"/>
    <w:rsid w:val="006F7529"/>
    <w:rsid w:val="00701BF5"/>
    <w:rsid w:val="00707105"/>
    <w:rsid w:val="00712370"/>
    <w:rsid w:val="00716473"/>
    <w:rsid w:val="007246A3"/>
    <w:rsid w:val="0073237D"/>
    <w:rsid w:val="00733672"/>
    <w:rsid w:val="0073795E"/>
    <w:rsid w:val="007479B9"/>
    <w:rsid w:val="00774FD1"/>
    <w:rsid w:val="007802C7"/>
    <w:rsid w:val="0079333B"/>
    <w:rsid w:val="00793C43"/>
    <w:rsid w:val="0079514B"/>
    <w:rsid w:val="00797B3D"/>
    <w:rsid w:val="007A17D2"/>
    <w:rsid w:val="007A1AB0"/>
    <w:rsid w:val="007A2215"/>
    <w:rsid w:val="007A23C0"/>
    <w:rsid w:val="007A3FB2"/>
    <w:rsid w:val="007C0B34"/>
    <w:rsid w:val="007D41A8"/>
    <w:rsid w:val="007E3376"/>
    <w:rsid w:val="007E4C02"/>
    <w:rsid w:val="007E52E2"/>
    <w:rsid w:val="008015C5"/>
    <w:rsid w:val="00801D7E"/>
    <w:rsid w:val="008041C1"/>
    <w:rsid w:val="00805EAE"/>
    <w:rsid w:val="00805F81"/>
    <w:rsid w:val="00810F40"/>
    <w:rsid w:val="00813A56"/>
    <w:rsid w:val="00825969"/>
    <w:rsid w:val="008337C1"/>
    <w:rsid w:val="00834C44"/>
    <w:rsid w:val="00851534"/>
    <w:rsid w:val="0085240F"/>
    <w:rsid w:val="00871935"/>
    <w:rsid w:val="0087683A"/>
    <w:rsid w:val="00876E0C"/>
    <w:rsid w:val="00882293"/>
    <w:rsid w:val="00884D96"/>
    <w:rsid w:val="00893A25"/>
    <w:rsid w:val="008A6528"/>
    <w:rsid w:val="008B34C2"/>
    <w:rsid w:val="008C0FC8"/>
    <w:rsid w:val="008D7B55"/>
    <w:rsid w:val="008E3D08"/>
    <w:rsid w:val="008E76E9"/>
    <w:rsid w:val="008E7D57"/>
    <w:rsid w:val="008F3BA4"/>
    <w:rsid w:val="009044DA"/>
    <w:rsid w:val="00920D1B"/>
    <w:rsid w:val="00921D60"/>
    <w:rsid w:val="00924C86"/>
    <w:rsid w:val="00925CD7"/>
    <w:rsid w:val="009273EA"/>
    <w:rsid w:val="00942350"/>
    <w:rsid w:val="00942681"/>
    <w:rsid w:val="00947AF8"/>
    <w:rsid w:val="00953B4C"/>
    <w:rsid w:val="00957511"/>
    <w:rsid w:val="00966EAB"/>
    <w:rsid w:val="0097497B"/>
    <w:rsid w:val="00986D94"/>
    <w:rsid w:val="00994BB2"/>
    <w:rsid w:val="00997291"/>
    <w:rsid w:val="009A48D6"/>
    <w:rsid w:val="009B0478"/>
    <w:rsid w:val="009D40A3"/>
    <w:rsid w:val="009E3356"/>
    <w:rsid w:val="009F025A"/>
    <w:rsid w:val="009F19C7"/>
    <w:rsid w:val="00A02E54"/>
    <w:rsid w:val="00A04C54"/>
    <w:rsid w:val="00A05B20"/>
    <w:rsid w:val="00A06BEF"/>
    <w:rsid w:val="00A15A68"/>
    <w:rsid w:val="00A17316"/>
    <w:rsid w:val="00A251F0"/>
    <w:rsid w:val="00A26B85"/>
    <w:rsid w:val="00A26E1B"/>
    <w:rsid w:val="00A30DF9"/>
    <w:rsid w:val="00A32A5C"/>
    <w:rsid w:val="00A3324B"/>
    <w:rsid w:val="00A35DA6"/>
    <w:rsid w:val="00A366F8"/>
    <w:rsid w:val="00A37F72"/>
    <w:rsid w:val="00A4151B"/>
    <w:rsid w:val="00A44142"/>
    <w:rsid w:val="00A457AF"/>
    <w:rsid w:val="00A45913"/>
    <w:rsid w:val="00A62363"/>
    <w:rsid w:val="00A6704C"/>
    <w:rsid w:val="00A70164"/>
    <w:rsid w:val="00A715AF"/>
    <w:rsid w:val="00A75525"/>
    <w:rsid w:val="00A80E31"/>
    <w:rsid w:val="00A84A3A"/>
    <w:rsid w:val="00A86A29"/>
    <w:rsid w:val="00A86FE7"/>
    <w:rsid w:val="00A92C43"/>
    <w:rsid w:val="00A93E63"/>
    <w:rsid w:val="00A94088"/>
    <w:rsid w:val="00AA1A86"/>
    <w:rsid w:val="00AA4BDE"/>
    <w:rsid w:val="00AA50D7"/>
    <w:rsid w:val="00AA651E"/>
    <w:rsid w:val="00AA68C5"/>
    <w:rsid w:val="00AC27B4"/>
    <w:rsid w:val="00AC5E42"/>
    <w:rsid w:val="00AC73E8"/>
    <w:rsid w:val="00AD2C88"/>
    <w:rsid w:val="00AD38FF"/>
    <w:rsid w:val="00AD5F34"/>
    <w:rsid w:val="00AE1389"/>
    <w:rsid w:val="00AE275A"/>
    <w:rsid w:val="00AE38A1"/>
    <w:rsid w:val="00AE5749"/>
    <w:rsid w:val="00AE5E12"/>
    <w:rsid w:val="00AF0F6A"/>
    <w:rsid w:val="00AF608C"/>
    <w:rsid w:val="00AF7CC3"/>
    <w:rsid w:val="00B01F42"/>
    <w:rsid w:val="00B034F0"/>
    <w:rsid w:val="00B03E0C"/>
    <w:rsid w:val="00B07A22"/>
    <w:rsid w:val="00B214C7"/>
    <w:rsid w:val="00B31766"/>
    <w:rsid w:val="00B55A4C"/>
    <w:rsid w:val="00B64784"/>
    <w:rsid w:val="00B757E8"/>
    <w:rsid w:val="00B823AC"/>
    <w:rsid w:val="00B9125B"/>
    <w:rsid w:val="00B9430E"/>
    <w:rsid w:val="00BB5F41"/>
    <w:rsid w:val="00BC048D"/>
    <w:rsid w:val="00BC15ED"/>
    <w:rsid w:val="00BC59BF"/>
    <w:rsid w:val="00BC76C9"/>
    <w:rsid w:val="00BD08FB"/>
    <w:rsid w:val="00BD1608"/>
    <w:rsid w:val="00BF0CD7"/>
    <w:rsid w:val="00BF1248"/>
    <w:rsid w:val="00BF6FDA"/>
    <w:rsid w:val="00C075A3"/>
    <w:rsid w:val="00C12846"/>
    <w:rsid w:val="00C14226"/>
    <w:rsid w:val="00C16B4B"/>
    <w:rsid w:val="00C17BEA"/>
    <w:rsid w:val="00C204CB"/>
    <w:rsid w:val="00C358DB"/>
    <w:rsid w:val="00C36969"/>
    <w:rsid w:val="00C40D07"/>
    <w:rsid w:val="00C414C1"/>
    <w:rsid w:val="00C45FEA"/>
    <w:rsid w:val="00C47A6C"/>
    <w:rsid w:val="00C5067E"/>
    <w:rsid w:val="00C50914"/>
    <w:rsid w:val="00C539EB"/>
    <w:rsid w:val="00C571FE"/>
    <w:rsid w:val="00C6697E"/>
    <w:rsid w:val="00C67348"/>
    <w:rsid w:val="00C74291"/>
    <w:rsid w:val="00C80057"/>
    <w:rsid w:val="00C81602"/>
    <w:rsid w:val="00C84DF6"/>
    <w:rsid w:val="00C85981"/>
    <w:rsid w:val="00C87C34"/>
    <w:rsid w:val="00C937F5"/>
    <w:rsid w:val="00C9525B"/>
    <w:rsid w:val="00CA1A50"/>
    <w:rsid w:val="00CA521C"/>
    <w:rsid w:val="00CA78B1"/>
    <w:rsid w:val="00CC291E"/>
    <w:rsid w:val="00CC29A6"/>
    <w:rsid w:val="00CC3F97"/>
    <w:rsid w:val="00CD6FA9"/>
    <w:rsid w:val="00CE5136"/>
    <w:rsid w:val="00CE576D"/>
    <w:rsid w:val="00CE7469"/>
    <w:rsid w:val="00CF6632"/>
    <w:rsid w:val="00D07C4C"/>
    <w:rsid w:val="00D11121"/>
    <w:rsid w:val="00D126AC"/>
    <w:rsid w:val="00D20D5C"/>
    <w:rsid w:val="00D22F70"/>
    <w:rsid w:val="00D40DE7"/>
    <w:rsid w:val="00D444D9"/>
    <w:rsid w:val="00D64B4C"/>
    <w:rsid w:val="00D71854"/>
    <w:rsid w:val="00D75486"/>
    <w:rsid w:val="00D76A8E"/>
    <w:rsid w:val="00D859F9"/>
    <w:rsid w:val="00D869E0"/>
    <w:rsid w:val="00D87203"/>
    <w:rsid w:val="00DB25BA"/>
    <w:rsid w:val="00DB3354"/>
    <w:rsid w:val="00DB4CA6"/>
    <w:rsid w:val="00DB4F46"/>
    <w:rsid w:val="00DB4FBF"/>
    <w:rsid w:val="00DB59B8"/>
    <w:rsid w:val="00DC06D8"/>
    <w:rsid w:val="00DC23DD"/>
    <w:rsid w:val="00DC4CA7"/>
    <w:rsid w:val="00DC7212"/>
    <w:rsid w:val="00DD7641"/>
    <w:rsid w:val="00DE0CAE"/>
    <w:rsid w:val="00DE3835"/>
    <w:rsid w:val="00DE533B"/>
    <w:rsid w:val="00DF3413"/>
    <w:rsid w:val="00DF5069"/>
    <w:rsid w:val="00E004EC"/>
    <w:rsid w:val="00E00DC7"/>
    <w:rsid w:val="00E077B9"/>
    <w:rsid w:val="00E204C7"/>
    <w:rsid w:val="00E2112D"/>
    <w:rsid w:val="00E3003B"/>
    <w:rsid w:val="00E358BB"/>
    <w:rsid w:val="00E406D5"/>
    <w:rsid w:val="00E4180F"/>
    <w:rsid w:val="00E453E2"/>
    <w:rsid w:val="00E526DA"/>
    <w:rsid w:val="00E52C05"/>
    <w:rsid w:val="00E60F6B"/>
    <w:rsid w:val="00E620C4"/>
    <w:rsid w:val="00E67D8C"/>
    <w:rsid w:val="00E71D40"/>
    <w:rsid w:val="00E804FF"/>
    <w:rsid w:val="00E819DD"/>
    <w:rsid w:val="00E971BC"/>
    <w:rsid w:val="00EB0328"/>
    <w:rsid w:val="00EB3C71"/>
    <w:rsid w:val="00EC45BE"/>
    <w:rsid w:val="00EC4F4C"/>
    <w:rsid w:val="00ED220A"/>
    <w:rsid w:val="00ED2F59"/>
    <w:rsid w:val="00ED378B"/>
    <w:rsid w:val="00EF2EC5"/>
    <w:rsid w:val="00EF334D"/>
    <w:rsid w:val="00EF3C03"/>
    <w:rsid w:val="00EF42A5"/>
    <w:rsid w:val="00F06201"/>
    <w:rsid w:val="00F06332"/>
    <w:rsid w:val="00F1019B"/>
    <w:rsid w:val="00F10B67"/>
    <w:rsid w:val="00F13656"/>
    <w:rsid w:val="00F27379"/>
    <w:rsid w:val="00F32999"/>
    <w:rsid w:val="00F37161"/>
    <w:rsid w:val="00F3772F"/>
    <w:rsid w:val="00F41B12"/>
    <w:rsid w:val="00F457F6"/>
    <w:rsid w:val="00F5206F"/>
    <w:rsid w:val="00F5638D"/>
    <w:rsid w:val="00F6431E"/>
    <w:rsid w:val="00F71AC5"/>
    <w:rsid w:val="00F75F43"/>
    <w:rsid w:val="00F901B3"/>
    <w:rsid w:val="00F90AC5"/>
    <w:rsid w:val="00F90CB6"/>
    <w:rsid w:val="00FB2A52"/>
    <w:rsid w:val="00FB3BA6"/>
    <w:rsid w:val="00FB6C2A"/>
    <w:rsid w:val="00FB7B4E"/>
    <w:rsid w:val="00FD1C6F"/>
    <w:rsid w:val="00FE0538"/>
    <w:rsid w:val="00FE57B2"/>
    <w:rsid w:val="00FF4D83"/>
    <w:rsid w:val="00FF64E5"/>
    <w:rsid w:val="00FF6D05"/>
    <w:rsid w:val="5265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Zaglavlje Char"/>
    <w:basedOn w:val="2"/>
    <w:link w:val="4"/>
    <w:semiHidden/>
    <w:qFormat/>
    <w:uiPriority w:val="99"/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Table Grid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CEF49-B3DC-4A16-B579-8B5281BD14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1073</Words>
  <Characters>6611</Characters>
  <Lines>111</Lines>
  <Paragraphs>31</Paragraphs>
  <TotalTime>3631</TotalTime>
  <ScaleCrop>false</ScaleCrop>
  <LinksUpToDate>false</LinksUpToDate>
  <CharactersWithSpaces>7576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2024-03-07T09:24:00Z</dcterms:created>
  <dc:creator>Štefanija Benko</dc:creator>
  <cp:lastModifiedBy>Martina</cp:lastModifiedBy>
  <cp:lastPrinted>2026-05-28T08:53:00Z</cp:lastPrinted>
  <dcterms:modified xsi:type="dcterms:W3CDTF">2026-06-15T11:27:30Z</dcterms:modified>
  <cp:revision>296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eyJoZGlkIjoiYjNlMmJlMTg4MjZmNmY1NzIxYmMxNjZhYTU1OTZlZWQifQ==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2FF0F14EDB8C462890542F1C01AABCAE_12</vt:lpwstr>
  </property>
</Properties>
</file>